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2A1F1" w14:textId="0C7A168C" w:rsidR="0065039D" w:rsidRDefault="007725E3">
      <w:pPr>
        <w:rPr>
          <w:b/>
          <w:bCs/>
        </w:rPr>
      </w:pPr>
      <w:r w:rsidRPr="00127EBC">
        <w:rPr>
          <w:b/>
          <w:bCs/>
        </w:rPr>
        <w:t>POTENTIAL REGULATORY PROJECTS</w:t>
      </w:r>
    </w:p>
    <w:p w14:paraId="42BFBE18" w14:textId="16D1CC3C" w:rsidR="00127EBC" w:rsidRDefault="00127EBC" w:rsidP="00127EBC">
      <w:pPr>
        <w:pStyle w:val="FootnoteText"/>
      </w:pPr>
      <w:r>
        <w:t>Monte A. Jackel</w:t>
      </w:r>
    </w:p>
    <w:p w14:paraId="0994DD89" w14:textId="777A7304" w:rsidR="00127EBC" w:rsidRPr="00127EBC" w:rsidRDefault="00127EBC" w:rsidP="00127EBC">
      <w:pPr>
        <w:pStyle w:val="FootnoteText"/>
      </w:pPr>
      <w:r>
        <w:t>November 16, 2020</w:t>
      </w:r>
    </w:p>
    <w:p w14:paraId="2A91B9A9" w14:textId="338C4DDB" w:rsidR="007D189D" w:rsidRDefault="007D189D" w:rsidP="007D189D">
      <w:pPr>
        <w:pStyle w:val="FootnoteText"/>
      </w:pPr>
    </w:p>
    <w:p w14:paraId="357BBFA4" w14:textId="778916C7" w:rsidR="00DB0C17" w:rsidRPr="00417E9E" w:rsidRDefault="00E2305F" w:rsidP="00417E9E">
      <w:pPr>
        <w:pStyle w:val="FootnoteText"/>
        <w:numPr>
          <w:ilvl w:val="0"/>
          <w:numId w:val="1"/>
        </w:numPr>
        <w:rPr>
          <w:b/>
          <w:bCs/>
        </w:rPr>
      </w:pPr>
      <w:r w:rsidRPr="00127EBC">
        <w:rPr>
          <w:b/>
          <w:bCs/>
        </w:rPr>
        <w:t xml:space="preserve">Treat private equity investments as not capital assets. </w:t>
      </w:r>
      <w:r w:rsidR="00127EBC" w:rsidRPr="00127EBC">
        <w:rPr>
          <w:b/>
          <w:bCs/>
        </w:rPr>
        <w:t xml:space="preserve">The following are articles discussing the issue. </w:t>
      </w:r>
    </w:p>
    <w:p w14:paraId="58064680" w14:textId="77777777" w:rsidR="00CD3D30" w:rsidRDefault="00CD3D30" w:rsidP="00CD3D30">
      <w:pPr>
        <w:pStyle w:val="FootnoteText"/>
      </w:pPr>
    </w:p>
    <w:p w14:paraId="7CE8954D" w14:textId="4B938B2C" w:rsidR="00026B87" w:rsidRDefault="00B550CB" w:rsidP="00863A77">
      <w:pPr>
        <w:pStyle w:val="FootnoteText"/>
        <w:numPr>
          <w:ilvl w:val="0"/>
          <w:numId w:val="2"/>
        </w:numPr>
      </w:pPr>
      <w:hyperlink r:id="rId7" w:history="1">
        <w:r w:rsidR="00417E9E" w:rsidRPr="00725F9B">
          <w:rPr>
            <w:rStyle w:val="Hyperlink"/>
          </w:rPr>
          <w:t>https://www.taxnotes.com/insurance-expert/benefits-and-pensions/sun-capital-s-limited-impact-taxation-private-equity-funds/2014/07/01/v7k2?highlight=%22Sun%20Capital%22%20%22Rosenthal%22</w:t>
        </w:r>
      </w:hyperlink>
      <w:r w:rsidR="00417E9E">
        <w:t xml:space="preserve"> (Elias article, Tax Notes). </w:t>
      </w:r>
    </w:p>
    <w:p w14:paraId="55B51697" w14:textId="77777777" w:rsidR="00CD3D30" w:rsidRDefault="00CD3D30" w:rsidP="00CD3D30">
      <w:pPr>
        <w:pStyle w:val="FootnoteText"/>
      </w:pPr>
    </w:p>
    <w:p w14:paraId="5173E6B4" w14:textId="6AE3F272" w:rsidR="00026B87" w:rsidRDefault="00B550CB" w:rsidP="00863A77">
      <w:pPr>
        <w:pStyle w:val="FootnoteText"/>
        <w:numPr>
          <w:ilvl w:val="0"/>
          <w:numId w:val="2"/>
        </w:numPr>
      </w:pPr>
      <w:hyperlink r:id="rId8" w:history="1">
        <w:r w:rsidR="00FC68D9" w:rsidRPr="00725F9B">
          <w:rPr>
            <w:rStyle w:val="Hyperlink"/>
          </w:rPr>
          <w:t>https://www.taxnotes.com/tax-notes-federal/financial-instruments-tax-issues/sun-capital-demise-private-equity/2013/08/26/qtml?highlight=%22demise%20of%20private%20equity%22</w:t>
        </w:r>
      </w:hyperlink>
      <w:r w:rsidR="00FC68D9">
        <w:t xml:space="preserve"> (Jackel article, Tax Notes). </w:t>
      </w:r>
    </w:p>
    <w:p w14:paraId="08509270" w14:textId="77777777" w:rsidR="00CD3D30" w:rsidRDefault="00CD3D30" w:rsidP="00CD3D30">
      <w:pPr>
        <w:pStyle w:val="FootnoteText"/>
      </w:pPr>
    </w:p>
    <w:p w14:paraId="17B8694D" w14:textId="616FF847" w:rsidR="00086BA0" w:rsidRDefault="00B550CB" w:rsidP="00863A77">
      <w:pPr>
        <w:pStyle w:val="FootnoteText"/>
        <w:numPr>
          <w:ilvl w:val="0"/>
          <w:numId w:val="2"/>
        </w:numPr>
      </w:pPr>
      <w:hyperlink r:id="rId9" w:history="1">
        <w:r w:rsidR="00863A77" w:rsidRPr="00725F9B">
          <w:rPr>
            <w:rStyle w:val="Hyperlink"/>
          </w:rPr>
          <w:t>https://t.co/ICigU7tMgZ?amp=1</w:t>
        </w:r>
      </w:hyperlink>
      <w:r w:rsidR="00FD17B2">
        <w:t xml:space="preserve"> (Rosenthal article, Tax Notes). </w:t>
      </w:r>
    </w:p>
    <w:p w14:paraId="0C965C44" w14:textId="77777777" w:rsidR="00CD3D30" w:rsidRDefault="00CD3D30" w:rsidP="00CD3D30">
      <w:pPr>
        <w:pStyle w:val="FootnoteText"/>
      </w:pPr>
    </w:p>
    <w:p w14:paraId="52E0072F" w14:textId="38ED08FB" w:rsidR="0029103E" w:rsidRDefault="00B550CB" w:rsidP="00863A77">
      <w:pPr>
        <w:pStyle w:val="FootnoteText"/>
        <w:numPr>
          <w:ilvl w:val="0"/>
          <w:numId w:val="2"/>
        </w:numPr>
      </w:pPr>
      <w:hyperlink r:id="rId10" w:history="1">
        <w:r w:rsidR="004B3167" w:rsidRPr="00725F9B">
          <w:rPr>
            <w:rStyle w:val="Hyperlink"/>
          </w:rPr>
          <w:t>https://t.co/8FiVYFsaKJ?amp=1</w:t>
        </w:r>
      </w:hyperlink>
      <w:r w:rsidR="00B10A08">
        <w:t xml:space="preserve"> (Rosenthal article, Tax Notes). </w:t>
      </w:r>
    </w:p>
    <w:p w14:paraId="34989251" w14:textId="5C320F35" w:rsidR="00911B47" w:rsidRDefault="00911B47" w:rsidP="006250FA">
      <w:pPr>
        <w:pStyle w:val="FootnoteText"/>
        <w:ind w:left="720"/>
      </w:pPr>
    </w:p>
    <w:p w14:paraId="077E3FAC" w14:textId="010717EA" w:rsidR="00911B47" w:rsidRPr="00127EBC" w:rsidRDefault="00911B47" w:rsidP="00911B47">
      <w:pPr>
        <w:pStyle w:val="FootnoteText"/>
        <w:numPr>
          <w:ilvl w:val="0"/>
          <w:numId w:val="1"/>
        </w:numPr>
        <w:rPr>
          <w:b/>
          <w:bCs/>
        </w:rPr>
      </w:pPr>
      <w:r w:rsidRPr="00127EBC">
        <w:rPr>
          <w:b/>
          <w:bCs/>
        </w:rPr>
        <w:t>Treat the issuance of a partnership profits interest as a taxable event</w:t>
      </w:r>
      <w:r w:rsidR="00CD3D30" w:rsidRPr="00127EBC">
        <w:rPr>
          <w:b/>
          <w:bCs/>
        </w:rPr>
        <w:t xml:space="preserve"> or, alternatively</w:t>
      </w:r>
      <w:r w:rsidR="00127EBC" w:rsidRPr="00127EBC">
        <w:rPr>
          <w:b/>
          <w:bCs/>
        </w:rPr>
        <w:t>, treat allocations to service partners as compensation for services without regard to risk.</w:t>
      </w:r>
    </w:p>
    <w:p w14:paraId="3282C51B" w14:textId="198D58C9" w:rsidR="00911B47" w:rsidRDefault="00911B47" w:rsidP="00911B47">
      <w:pPr>
        <w:pStyle w:val="FootnoteText"/>
      </w:pPr>
    </w:p>
    <w:p w14:paraId="5E93D582" w14:textId="36E4CB7F" w:rsidR="00FE5D50" w:rsidRPr="003D6479" w:rsidRDefault="00B550CB" w:rsidP="002E76BB">
      <w:pPr>
        <w:pStyle w:val="FootnoteText"/>
        <w:numPr>
          <w:ilvl w:val="0"/>
          <w:numId w:val="4"/>
        </w:numPr>
        <w:rPr>
          <w:rStyle w:val="Hyperlink"/>
          <w:color w:val="auto"/>
          <w:u w:val="none"/>
        </w:rPr>
      </w:pPr>
      <w:hyperlink r:id="rId11" w:history="1">
        <w:r w:rsidR="002E76BB" w:rsidRPr="00725F9B">
          <w:rPr>
            <w:rStyle w:val="Hyperlink"/>
          </w:rPr>
          <w:t>https://jackeltaxlaw.com/wp-content/uploads/2020/11/SSRN-id2661623.pdf</w:t>
        </w:r>
      </w:hyperlink>
      <w:r w:rsidR="003D6479">
        <w:rPr>
          <w:rStyle w:val="Hyperlink"/>
        </w:rPr>
        <w:t xml:space="preserve"> </w:t>
      </w:r>
    </w:p>
    <w:p w14:paraId="025FA1E1" w14:textId="20FF2E83" w:rsidR="003D6479" w:rsidRPr="00E17995" w:rsidRDefault="00E17995" w:rsidP="003D6479">
      <w:pPr>
        <w:pStyle w:val="FootnoteText"/>
        <w:ind w:left="720"/>
        <w:rPr>
          <w:color w:val="000000" w:themeColor="text1"/>
          <w:szCs w:val="24"/>
        </w:rPr>
      </w:pPr>
      <w:r>
        <w:rPr>
          <w:rStyle w:val="Hyperlink"/>
          <w:color w:val="000000" w:themeColor="text1"/>
          <w:sz w:val="26"/>
          <w:szCs w:val="26"/>
          <w:u w:val="none"/>
        </w:rPr>
        <w:t>(</w:t>
      </w:r>
      <w:r>
        <w:rPr>
          <w:rStyle w:val="Hyperlink"/>
          <w:color w:val="000000" w:themeColor="text1"/>
          <w:szCs w:val="24"/>
          <w:u w:val="none"/>
        </w:rPr>
        <w:t xml:space="preserve">Prof. Fleischer, SSRN 2015 paper). </w:t>
      </w:r>
    </w:p>
    <w:p w14:paraId="28BAAED9" w14:textId="77777777" w:rsidR="00127EBC" w:rsidRDefault="00127EBC" w:rsidP="00127EBC">
      <w:pPr>
        <w:pStyle w:val="FootnoteText"/>
        <w:ind w:left="720"/>
      </w:pPr>
    </w:p>
    <w:p w14:paraId="469E9E4A" w14:textId="5A155F1F" w:rsidR="002E76BB" w:rsidRPr="00127EBC" w:rsidRDefault="00674E4C" w:rsidP="002E76BB">
      <w:pPr>
        <w:pStyle w:val="FootnoteText"/>
        <w:numPr>
          <w:ilvl w:val="0"/>
          <w:numId w:val="4"/>
        </w:numPr>
      </w:pPr>
      <w:r>
        <w:rPr>
          <w:rFonts w:ascii="Georgia" w:hAnsi="Georgia"/>
          <w:color w:val="000000"/>
          <w:shd w:val="clear" w:color="auto" w:fill="FFFFFF"/>
        </w:rPr>
        <w:t>“To be workable, the regs would have to depart from the entrepreneurial risk framework and take the position that an allocation for services is a payment for services regardless of risk. In the extreme, this would disallow special allocations altogether (or rather, treat all special allocations as payments for services), and I doubt anyone wants to go that far, certainly outside of the investment fund/real estate context.</w:t>
      </w:r>
      <w:r w:rsidR="00AD725F">
        <w:rPr>
          <w:rFonts w:ascii="Georgia" w:hAnsi="Georgia"/>
          <w:color w:val="000000"/>
          <w:shd w:val="clear" w:color="auto" w:fill="FFFFFF"/>
        </w:rPr>
        <w:t xml:space="preserve">” </w:t>
      </w:r>
      <w:r w:rsidR="00E17995">
        <w:rPr>
          <w:rFonts w:ascii="Georgia" w:hAnsi="Georgia"/>
          <w:color w:val="000000"/>
          <w:shd w:val="clear" w:color="auto" w:fill="FFFFFF"/>
        </w:rPr>
        <w:t xml:space="preserve">Quote from </w:t>
      </w:r>
      <w:r w:rsidR="00AD725F">
        <w:rPr>
          <w:rFonts w:ascii="Georgia" w:hAnsi="Georgia"/>
          <w:color w:val="000000"/>
          <w:shd w:val="clear" w:color="auto" w:fill="FFFFFF"/>
        </w:rPr>
        <w:t xml:space="preserve">Professor Victor Fleischer, UCI. </w:t>
      </w:r>
    </w:p>
    <w:p w14:paraId="50DB92FD" w14:textId="77777777" w:rsidR="00127EBC" w:rsidRPr="008A103F" w:rsidRDefault="00127EBC" w:rsidP="00127EBC">
      <w:pPr>
        <w:pStyle w:val="FootnoteText"/>
      </w:pPr>
    </w:p>
    <w:p w14:paraId="0E311502" w14:textId="5D5737F6" w:rsidR="008A103F" w:rsidRDefault="001E5964" w:rsidP="002E76BB">
      <w:pPr>
        <w:pStyle w:val="FootnoteText"/>
        <w:numPr>
          <w:ilvl w:val="0"/>
          <w:numId w:val="4"/>
        </w:numPr>
      </w:pPr>
      <w:r>
        <w:rPr>
          <w:rFonts w:ascii="Georgia" w:hAnsi="Georgia"/>
          <w:color w:val="000000"/>
          <w:shd w:val="clear" w:color="auto" w:fill="FFFFFF"/>
        </w:rPr>
        <w:t>“</w:t>
      </w:r>
      <w:r w:rsidR="008A103F">
        <w:rPr>
          <w:rFonts w:ascii="Georgia" w:hAnsi="Georgia"/>
          <w:color w:val="000000"/>
          <w:shd w:val="clear" w:color="auto" w:fill="FFFFFF"/>
        </w:rPr>
        <w:t>If regulatory action is taken, it is a choice between treating a partnership profits interest as property and tax it upfront as ordinary income</w:t>
      </w:r>
      <w:r w:rsidR="0028553E">
        <w:rPr>
          <w:rFonts w:ascii="Georgia" w:hAnsi="Georgia"/>
          <w:color w:val="000000"/>
          <w:shd w:val="clear" w:color="auto" w:fill="FFFFFF"/>
        </w:rPr>
        <w:t xml:space="preserve"> (and allow amortizable deductions as the income is later allocated to avoid double taxation)</w:t>
      </w:r>
      <w:r w:rsidR="008A103F">
        <w:rPr>
          <w:rFonts w:ascii="Georgia" w:hAnsi="Georgia"/>
          <w:color w:val="000000"/>
          <w:shd w:val="clear" w:color="auto" w:fill="FFFFFF"/>
        </w:rPr>
        <w:t xml:space="preserve"> or to continue the deferral but treat allocations </w:t>
      </w:r>
      <w:r>
        <w:rPr>
          <w:rFonts w:ascii="Georgia" w:hAnsi="Georgia"/>
          <w:color w:val="000000"/>
          <w:shd w:val="clear" w:color="auto" w:fill="FFFFFF"/>
        </w:rPr>
        <w:t xml:space="preserve">to service partners as a payment for </w:t>
      </w:r>
      <w:r>
        <w:rPr>
          <w:rFonts w:ascii="Georgia" w:hAnsi="Georgia"/>
          <w:color w:val="000000"/>
          <w:shd w:val="clear" w:color="auto" w:fill="FFFFFF"/>
        </w:rPr>
        <w:lastRenderedPageBreak/>
        <w:t xml:space="preserve">services regardless of risk. Outside adverse pressure will result.”  </w:t>
      </w:r>
      <w:r w:rsidR="00E17995">
        <w:rPr>
          <w:rFonts w:ascii="Georgia" w:hAnsi="Georgia"/>
          <w:color w:val="000000"/>
          <w:shd w:val="clear" w:color="auto" w:fill="FFFFFF"/>
        </w:rPr>
        <w:t xml:space="preserve">Quote from </w:t>
      </w:r>
      <w:r>
        <w:rPr>
          <w:rFonts w:ascii="Georgia" w:hAnsi="Georgia"/>
          <w:color w:val="000000"/>
          <w:shd w:val="clear" w:color="auto" w:fill="FFFFFF"/>
        </w:rPr>
        <w:t>Monte Jackel</w:t>
      </w:r>
      <w:r w:rsidR="00CD3D30">
        <w:rPr>
          <w:rFonts w:ascii="Georgia" w:hAnsi="Georgia"/>
          <w:color w:val="000000"/>
          <w:shd w:val="clear" w:color="auto" w:fill="FFFFFF"/>
        </w:rPr>
        <w:t xml:space="preserve">, </w:t>
      </w:r>
      <w:proofErr w:type="spellStart"/>
      <w:r w:rsidR="00CD3D30">
        <w:rPr>
          <w:rFonts w:ascii="Georgia" w:hAnsi="Georgia"/>
          <w:color w:val="000000"/>
          <w:shd w:val="clear" w:color="auto" w:fill="FFFFFF"/>
        </w:rPr>
        <w:t>Jackeltaxlaw</w:t>
      </w:r>
      <w:proofErr w:type="spellEnd"/>
      <w:r w:rsidR="00CD3D30">
        <w:rPr>
          <w:rFonts w:ascii="Georgia" w:hAnsi="Georgia"/>
          <w:color w:val="000000"/>
          <w:shd w:val="clear" w:color="auto" w:fill="FFFFFF"/>
        </w:rPr>
        <w:t xml:space="preserve">. </w:t>
      </w:r>
    </w:p>
    <w:p w14:paraId="2BB80BC3" w14:textId="77777777" w:rsidR="002E76BB" w:rsidRDefault="002E76BB" w:rsidP="002E76BB">
      <w:pPr>
        <w:pStyle w:val="FootnoteText"/>
      </w:pPr>
    </w:p>
    <w:p w14:paraId="211CB336" w14:textId="7754933D" w:rsidR="00911B47" w:rsidRPr="00C315E4" w:rsidRDefault="00B91AA6" w:rsidP="00911B47">
      <w:pPr>
        <w:pStyle w:val="FootnoteText"/>
        <w:numPr>
          <w:ilvl w:val="0"/>
          <w:numId w:val="1"/>
        </w:numPr>
        <w:rPr>
          <w:b/>
          <w:bCs/>
        </w:rPr>
      </w:pPr>
      <w:r w:rsidRPr="00C315E4">
        <w:rPr>
          <w:b/>
          <w:bCs/>
        </w:rPr>
        <w:t xml:space="preserve">Treat death as a disposition of negative tax basis property. </w:t>
      </w:r>
      <w:r w:rsidR="00C315E4">
        <w:rPr>
          <w:b/>
          <w:bCs/>
        </w:rPr>
        <w:t xml:space="preserve">The following </w:t>
      </w:r>
      <w:r w:rsidR="003D7F0B">
        <w:rPr>
          <w:b/>
          <w:bCs/>
        </w:rPr>
        <w:t>is some commentary on the issue.</w:t>
      </w:r>
    </w:p>
    <w:p w14:paraId="60D08A37" w14:textId="45EC7D31" w:rsidR="00B91AA6" w:rsidRDefault="00B91AA6" w:rsidP="00B91AA6">
      <w:pPr>
        <w:pStyle w:val="ListParagraph"/>
      </w:pPr>
    </w:p>
    <w:p w14:paraId="1C8B880F" w14:textId="7468CE7D" w:rsidR="004B3167" w:rsidRDefault="00B550CB" w:rsidP="004B3167">
      <w:pPr>
        <w:pStyle w:val="ListParagraph"/>
        <w:numPr>
          <w:ilvl w:val="0"/>
          <w:numId w:val="3"/>
        </w:numPr>
      </w:pPr>
      <w:hyperlink r:id="rId12" w:history="1">
        <w:r w:rsidR="00F02A84" w:rsidRPr="00725F9B">
          <w:rPr>
            <w:rStyle w:val="Hyperlink"/>
          </w:rPr>
          <w:t>https://www.taxnotes.com/tax-notes-today-federal/estate-gift-and-inheritance-taxes/how-read-code-regs-and-rulings-response-willens/2019/11/04/2b2z9?highlight=%22death%20as%20a%20disposition%22</w:t>
        </w:r>
      </w:hyperlink>
      <w:r w:rsidR="005A4B7E">
        <w:t xml:space="preserve"> (Jackel letter to the editor, Tax Notes). </w:t>
      </w:r>
    </w:p>
    <w:p w14:paraId="46C0DF80" w14:textId="77777777" w:rsidR="003D7F0B" w:rsidRDefault="003D7F0B" w:rsidP="003D7F0B">
      <w:pPr>
        <w:pStyle w:val="ListParagraph"/>
        <w:ind w:left="1080"/>
      </w:pPr>
    </w:p>
    <w:p w14:paraId="3D812BD1" w14:textId="74DDC6B9" w:rsidR="00F02A84" w:rsidRDefault="00B550CB" w:rsidP="004B3167">
      <w:pPr>
        <w:pStyle w:val="ListParagraph"/>
        <w:numPr>
          <w:ilvl w:val="0"/>
          <w:numId w:val="3"/>
        </w:numPr>
      </w:pPr>
      <w:hyperlink r:id="rId13" w:history="1">
        <w:r w:rsidR="0050581C" w:rsidRPr="00725F9B">
          <w:rPr>
            <w:rStyle w:val="Hyperlink"/>
          </w:rPr>
          <w:t>https://www.taxnotes.com/tax-notes-today-federal/estate-gift-and-inheritance-taxes/death-remains-disposition/2019/10/21/2b1lk?highlight=%22death%20as%20a%20disposition%22</w:t>
        </w:r>
      </w:hyperlink>
      <w:r w:rsidR="00896692">
        <w:t xml:space="preserve"> (Jackel letter to the editor, Tax Notes). </w:t>
      </w:r>
    </w:p>
    <w:p w14:paraId="62ECE0C5" w14:textId="77777777" w:rsidR="003D7F0B" w:rsidRDefault="003D7F0B" w:rsidP="003D7F0B"/>
    <w:p w14:paraId="70DE6463" w14:textId="615333E9" w:rsidR="0050581C" w:rsidRDefault="00B550CB" w:rsidP="004B3167">
      <w:pPr>
        <w:pStyle w:val="ListParagraph"/>
        <w:numPr>
          <w:ilvl w:val="0"/>
          <w:numId w:val="3"/>
        </w:numPr>
      </w:pPr>
      <w:hyperlink r:id="rId14" w:history="1">
        <w:r w:rsidR="00E93B47" w:rsidRPr="00725F9B">
          <w:rPr>
            <w:rStyle w:val="Hyperlink"/>
          </w:rPr>
          <w:t>https://www.taxnotes.com/tax-notes-today-federal/interest-income/partnership-interest-transfer-decedent-not-disposition/2019/10/15/2b0sr?highlight=%22death%20as%20a%20disposition%22</w:t>
        </w:r>
      </w:hyperlink>
      <w:r w:rsidR="004A7B73">
        <w:t xml:space="preserve"> (Willens letter to the editor, Tax Notes). </w:t>
      </w:r>
    </w:p>
    <w:p w14:paraId="7A253599" w14:textId="77777777" w:rsidR="003D7F0B" w:rsidRDefault="003D7F0B" w:rsidP="003D7F0B"/>
    <w:p w14:paraId="2387301E" w14:textId="65042AD9" w:rsidR="0073157F" w:rsidRDefault="00B550CB" w:rsidP="004B3167">
      <w:pPr>
        <w:pStyle w:val="ListParagraph"/>
        <w:numPr>
          <w:ilvl w:val="0"/>
          <w:numId w:val="3"/>
        </w:numPr>
      </w:pPr>
      <w:hyperlink r:id="rId15" w:history="1">
        <w:r w:rsidR="00214E86" w:rsidRPr="00593700">
          <w:rPr>
            <w:rStyle w:val="Hyperlink"/>
          </w:rPr>
          <w:t>https://www.taxnotes.com/tax-notes-today-federal/property-taxation/dispositions-plain-and-simple/2019/10/28/2b26f</w:t>
        </w:r>
      </w:hyperlink>
      <w:r w:rsidR="00952D0E">
        <w:t xml:space="preserve"> (Willens letter to the editor, Tax Notes). </w:t>
      </w:r>
    </w:p>
    <w:p w14:paraId="21688C11" w14:textId="77777777" w:rsidR="003D7F0B" w:rsidRDefault="003D7F0B" w:rsidP="003D7F0B"/>
    <w:p w14:paraId="228E63B8" w14:textId="5130BD04" w:rsidR="00F02A84" w:rsidRDefault="00B550CB" w:rsidP="00F02A84">
      <w:pPr>
        <w:pStyle w:val="ListParagraph"/>
        <w:numPr>
          <w:ilvl w:val="0"/>
          <w:numId w:val="3"/>
        </w:numPr>
      </w:pPr>
      <w:hyperlink r:id="rId16" w:history="1">
        <w:r w:rsidR="001F5159" w:rsidRPr="00725F9B">
          <w:rPr>
            <w:rStyle w:val="Hyperlink"/>
          </w:rPr>
          <w:t>https://www.taxnotes.com/tax-notes-today-federal/interest-income/death-disposition-redux/2019/10/07/29yl3?highlight=%22death%20as%20a%20disposition%22</w:t>
        </w:r>
      </w:hyperlink>
      <w:r w:rsidR="0028553E">
        <w:t xml:space="preserve"> (</w:t>
      </w:r>
      <w:r w:rsidR="00B540AD">
        <w:t>Jackel</w:t>
      </w:r>
      <w:r w:rsidR="00FF00E0">
        <w:t xml:space="preserve"> principal</w:t>
      </w:r>
      <w:r w:rsidR="00B540AD">
        <w:t xml:space="preserve"> article, Tax Notes). </w:t>
      </w:r>
    </w:p>
    <w:p w14:paraId="1237B67F" w14:textId="7E60E872" w:rsidR="00F02A84" w:rsidRDefault="00F02A84" w:rsidP="00F02A84">
      <w:pPr>
        <w:pStyle w:val="FootnoteText"/>
      </w:pPr>
    </w:p>
    <w:p w14:paraId="66C25419" w14:textId="77777777" w:rsidR="00F02A84" w:rsidRPr="00F02A84" w:rsidRDefault="00F02A84" w:rsidP="00F02A84">
      <w:pPr>
        <w:pStyle w:val="FootnoteText"/>
      </w:pPr>
    </w:p>
    <w:p w14:paraId="2C29F609" w14:textId="6C88A407" w:rsidR="00B91AA6" w:rsidRDefault="00B91AA6" w:rsidP="00911B47">
      <w:pPr>
        <w:pStyle w:val="FootnoteText"/>
        <w:numPr>
          <w:ilvl w:val="0"/>
          <w:numId w:val="1"/>
        </w:numPr>
        <w:rPr>
          <w:b/>
          <w:bCs/>
        </w:rPr>
      </w:pPr>
      <w:r w:rsidRPr="003D7F0B">
        <w:rPr>
          <w:b/>
          <w:bCs/>
        </w:rPr>
        <w:t xml:space="preserve">Provide guidance on the codified economic substance doctrine of section 7701(o). </w:t>
      </w:r>
      <w:r w:rsidR="00FF00E0">
        <w:rPr>
          <w:b/>
          <w:bCs/>
        </w:rPr>
        <w:t xml:space="preserve">Commentary from Monte Jackel, </w:t>
      </w:r>
      <w:proofErr w:type="spellStart"/>
      <w:r w:rsidR="00FF00E0">
        <w:rPr>
          <w:b/>
          <w:bCs/>
        </w:rPr>
        <w:t>Jackeltaxlaw</w:t>
      </w:r>
      <w:proofErr w:type="spellEnd"/>
      <w:r w:rsidR="00645C1B">
        <w:rPr>
          <w:b/>
          <w:bCs/>
        </w:rPr>
        <w:t xml:space="preserve"> and others</w:t>
      </w:r>
      <w:r w:rsidR="00FF00E0">
        <w:rPr>
          <w:b/>
          <w:bCs/>
        </w:rPr>
        <w:t xml:space="preserve">. </w:t>
      </w:r>
    </w:p>
    <w:p w14:paraId="5F176238" w14:textId="77777777" w:rsidR="00EA4852" w:rsidRDefault="00EA4852" w:rsidP="00EA4852">
      <w:pPr>
        <w:pStyle w:val="FootnoteText"/>
        <w:ind w:left="720"/>
        <w:rPr>
          <w:b/>
          <w:bCs/>
        </w:rPr>
      </w:pPr>
    </w:p>
    <w:p w14:paraId="2BD958B2" w14:textId="454D6CBB" w:rsidR="00EA4852" w:rsidRDefault="00EA4852" w:rsidP="00EA4852">
      <w:pPr>
        <w:pStyle w:val="FootnoteText"/>
        <w:numPr>
          <w:ilvl w:val="0"/>
          <w:numId w:val="5"/>
        </w:numPr>
      </w:pPr>
      <w:r>
        <w:t xml:space="preserve">The IRS and Treasury refused to issue regulations filling in the blanks under the codified economic substance doctrine in section 7701(o). The reason given was that issuing such guidance would, in effect, being telling judges in actual court cases what they can and cannot do. </w:t>
      </w:r>
      <w:r w:rsidR="00DD13A4">
        <w:t xml:space="preserve">See </w:t>
      </w:r>
      <w:hyperlink r:id="rId17" w:history="1">
        <w:r w:rsidR="004314AC" w:rsidRPr="007B4F7A">
          <w:rPr>
            <w:rStyle w:val="Hyperlink"/>
          </w:rPr>
          <w:t>https://www.taxnotes.com/tax-notes-today-federal/partnership-taxation/subchapter-k-and-codified-economic-substance-doctrine/2010/07/20/w5y9?highlight=%22Jackel%22%20%22dawn%20of%20a%20new%20era%22</w:t>
        </w:r>
      </w:hyperlink>
      <w:r w:rsidR="004314AC">
        <w:t xml:space="preserve"> (Jackel article, Tax Notes). </w:t>
      </w:r>
    </w:p>
    <w:p w14:paraId="00231A84" w14:textId="77777777" w:rsidR="00EA4852" w:rsidRDefault="00EA4852" w:rsidP="00EA4852">
      <w:pPr>
        <w:pStyle w:val="FootnoteText"/>
        <w:ind w:left="1080"/>
      </w:pPr>
    </w:p>
    <w:p w14:paraId="33DBED5C" w14:textId="2F6802FA" w:rsidR="00EA4852" w:rsidRDefault="00EA4852" w:rsidP="00EA4852">
      <w:pPr>
        <w:pStyle w:val="FootnoteText"/>
        <w:numPr>
          <w:ilvl w:val="0"/>
          <w:numId w:val="5"/>
        </w:numPr>
      </w:pPr>
      <w:r>
        <w:t xml:space="preserve">The result of this lack of guidance is taxpayers pushing the limits on any number of transactions. </w:t>
      </w:r>
      <w:r w:rsidR="00081463">
        <w:t>The partnership anti-abuse rule under reg.</w:t>
      </w:r>
      <w:r w:rsidR="00081463">
        <w:rPr>
          <w:rFonts w:cs="Arial"/>
        </w:rPr>
        <w:t>§</w:t>
      </w:r>
      <w:r w:rsidR="00081463">
        <w:t>1.701-2 has been ineffective because of doubts about its validity when the common law doctrines do not apply to the case at hand.</w:t>
      </w:r>
      <w:r w:rsidR="007E1F19">
        <w:t xml:space="preserve"> See </w:t>
      </w:r>
      <w:hyperlink r:id="rId18" w:history="1">
        <w:r w:rsidR="006C6CBE" w:rsidRPr="007B4F7A">
          <w:rPr>
            <w:rStyle w:val="Hyperlink"/>
          </w:rPr>
          <w:t>https://www.taxnotes.com/tax-notes-today-federal/partnerships/proving-partnership-antiabuse-reg-has-no-place/2018/05/14/281fm?highlight=%22Maynor%22</w:t>
        </w:r>
      </w:hyperlink>
      <w:r w:rsidR="006C6CBE">
        <w:t xml:space="preserve"> and </w:t>
      </w:r>
      <w:hyperlink r:id="rId19" w:history="1">
        <w:r w:rsidR="00D71896" w:rsidRPr="007B4F7A">
          <w:rPr>
            <w:rStyle w:val="Hyperlink"/>
          </w:rPr>
          <w:t>https://www.taxnotes.com/tax-notes-today-federal/tax-policy/time-revoke-partnership-antiabuse-regulation/2018/02/14/1x9dm?highlight=%22Maynor%22</w:t>
        </w:r>
      </w:hyperlink>
      <w:r w:rsidR="00D71896">
        <w:t xml:space="preserve"> (Jackel, Chen and Maynor letter to the editor and article, Tax Notes). </w:t>
      </w:r>
    </w:p>
    <w:p w14:paraId="1B09019D" w14:textId="77777777" w:rsidR="00081463" w:rsidRDefault="00081463" w:rsidP="00081463">
      <w:pPr>
        <w:pStyle w:val="ListParagraph"/>
      </w:pPr>
    </w:p>
    <w:p w14:paraId="0BB788D5" w14:textId="2A5EADCA" w:rsidR="00081463" w:rsidRDefault="009B3532" w:rsidP="00EA4852">
      <w:pPr>
        <w:pStyle w:val="FootnoteText"/>
        <w:numPr>
          <w:ilvl w:val="0"/>
          <w:numId w:val="5"/>
        </w:numPr>
      </w:pPr>
      <w:r>
        <w:t>A</w:t>
      </w:r>
      <w:r w:rsidR="00081463">
        <w:t xml:space="preserve"> problem area is that the section 6662 penalty is a strict liability penalty. </w:t>
      </w:r>
    </w:p>
    <w:p w14:paraId="13D185A1" w14:textId="77777777" w:rsidR="00B42DE1" w:rsidRDefault="00B42DE1" w:rsidP="00B42DE1">
      <w:pPr>
        <w:pStyle w:val="ListParagraph"/>
      </w:pPr>
    </w:p>
    <w:p w14:paraId="3B38F9BC" w14:textId="4CEB316A" w:rsidR="00B42DE1" w:rsidRPr="00EA4852" w:rsidRDefault="009B3532" w:rsidP="00EA4852">
      <w:pPr>
        <w:pStyle w:val="FootnoteText"/>
        <w:numPr>
          <w:ilvl w:val="0"/>
          <w:numId w:val="5"/>
        </w:numPr>
      </w:pPr>
      <w:r>
        <w:t>Regardless</w:t>
      </w:r>
      <w:r w:rsidR="00B42DE1">
        <w:t xml:space="preserve">, tax administration will be significantly improved by issuing this guidance. </w:t>
      </w:r>
    </w:p>
    <w:p w14:paraId="355DED4F" w14:textId="77777777" w:rsidR="00B91AA6" w:rsidRDefault="00B91AA6" w:rsidP="00B91AA6">
      <w:pPr>
        <w:pStyle w:val="ListParagraph"/>
      </w:pPr>
    </w:p>
    <w:p w14:paraId="0A8BEF09" w14:textId="50298D47" w:rsidR="00B91AA6" w:rsidRDefault="00863A77" w:rsidP="00911B47">
      <w:pPr>
        <w:pStyle w:val="FootnoteText"/>
        <w:numPr>
          <w:ilvl w:val="0"/>
          <w:numId w:val="1"/>
        </w:numPr>
        <w:rPr>
          <w:b/>
          <w:bCs/>
        </w:rPr>
      </w:pPr>
      <w:r w:rsidRPr="003D7F0B">
        <w:rPr>
          <w:b/>
          <w:bCs/>
        </w:rPr>
        <w:t xml:space="preserve">Revoke or significantly revise the check-the-box regulations. </w:t>
      </w:r>
    </w:p>
    <w:p w14:paraId="651DAD57" w14:textId="647C6A83" w:rsidR="00645C1B" w:rsidRDefault="00645C1B" w:rsidP="00645C1B">
      <w:pPr>
        <w:pStyle w:val="FootnoteText"/>
        <w:rPr>
          <w:b/>
          <w:bCs/>
        </w:rPr>
      </w:pPr>
    </w:p>
    <w:p w14:paraId="3DBADB87" w14:textId="4D7A771D" w:rsidR="000B63B7" w:rsidRDefault="00645C1B" w:rsidP="00645C1B">
      <w:pPr>
        <w:pStyle w:val="FootnoteText"/>
        <w:numPr>
          <w:ilvl w:val="0"/>
          <w:numId w:val="6"/>
        </w:numPr>
      </w:pPr>
      <w:r>
        <w:t xml:space="preserve">The adoption of the check-the-box regulations was issued with some doubt as to its validity although the regulations have been upheld in the self-employment tax area. </w:t>
      </w:r>
    </w:p>
    <w:p w14:paraId="6E386488" w14:textId="77777777" w:rsidR="000B63B7" w:rsidRDefault="000B63B7" w:rsidP="000B63B7">
      <w:pPr>
        <w:pStyle w:val="FootnoteText"/>
        <w:ind w:left="720"/>
      </w:pPr>
    </w:p>
    <w:p w14:paraId="140F0C45" w14:textId="0893CD3B" w:rsidR="00645C1B" w:rsidRDefault="00A01CC0" w:rsidP="00645C1B">
      <w:pPr>
        <w:pStyle w:val="FootnoteText"/>
        <w:numPr>
          <w:ilvl w:val="0"/>
          <w:numId w:val="6"/>
        </w:numPr>
      </w:pPr>
      <w:r>
        <w:t>The extreme trouble area for these regulations have been the interaction of these regulations with the Internal Revenue Code’s international tax law</w:t>
      </w:r>
      <w:r w:rsidR="000B63B7">
        <w:t xml:space="preserve">, </w:t>
      </w:r>
      <w:r w:rsidR="00634805">
        <w:t xml:space="preserve">particularly disregarded entities. </w:t>
      </w:r>
    </w:p>
    <w:p w14:paraId="7228D036" w14:textId="77777777" w:rsidR="00634805" w:rsidRDefault="00634805" w:rsidP="00634805">
      <w:pPr>
        <w:pStyle w:val="ListParagraph"/>
      </w:pPr>
    </w:p>
    <w:p w14:paraId="293505B6" w14:textId="0A4BA1FF" w:rsidR="00634805" w:rsidRDefault="00634805" w:rsidP="00645C1B">
      <w:pPr>
        <w:pStyle w:val="FootnoteText"/>
        <w:numPr>
          <w:ilvl w:val="0"/>
          <w:numId w:val="6"/>
        </w:numPr>
      </w:pPr>
      <w:r>
        <w:t xml:space="preserve">There have also been issues with retroactive elections which have functioned as a time machine to beat regulation effective dates and have also functioned as a rescission mechanism because the 75-day retroactive period can span taxable years. </w:t>
      </w:r>
    </w:p>
    <w:p w14:paraId="1867943B" w14:textId="77777777" w:rsidR="001238C8" w:rsidRDefault="001238C8" w:rsidP="001238C8">
      <w:pPr>
        <w:pStyle w:val="ListParagraph"/>
      </w:pPr>
    </w:p>
    <w:p w14:paraId="12927A39" w14:textId="4621AC76" w:rsidR="001238C8" w:rsidRDefault="001238C8" w:rsidP="00645C1B">
      <w:pPr>
        <w:pStyle w:val="FootnoteText"/>
        <w:numPr>
          <w:ilvl w:val="0"/>
          <w:numId w:val="6"/>
        </w:numPr>
      </w:pPr>
      <w:r>
        <w:t xml:space="preserve">The international experts at CC Int’l would like to revise and/or </w:t>
      </w:r>
      <w:r w:rsidR="006269D2">
        <w:t xml:space="preserve">revoke the regulations for foreign entities. </w:t>
      </w:r>
    </w:p>
    <w:p w14:paraId="409E859D" w14:textId="77777777" w:rsidR="006269D2" w:rsidRDefault="006269D2" w:rsidP="006269D2">
      <w:pPr>
        <w:pStyle w:val="ListParagraph"/>
      </w:pPr>
    </w:p>
    <w:p w14:paraId="14E21724" w14:textId="7AE77269" w:rsidR="006269D2" w:rsidRPr="00645C1B" w:rsidRDefault="006269D2" w:rsidP="00645C1B">
      <w:pPr>
        <w:pStyle w:val="FootnoteText"/>
        <w:numPr>
          <w:ilvl w:val="0"/>
          <w:numId w:val="6"/>
        </w:numPr>
      </w:pPr>
      <w:r>
        <w:lastRenderedPageBreak/>
        <w:t xml:space="preserve">This area should be seriously studied and action taken. </w:t>
      </w:r>
    </w:p>
    <w:p w14:paraId="683057F7" w14:textId="76D7736C" w:rsidR="003B421F" w:rsidRDefault="003B421F" w:rsidP="006250FA">
      <w:pPr>
        <w:pStyle w:val="FootnoteText"/>
        <w:ind w:left="720"/>
      </w:pPr>
    </w:p>
    <w:p w14:paraId="4273FA68" w14:textId="77777777" w:rsidR="003B421F" w:rsidRPr="007D189D" w:rsidRDefault="003B421F" w:rsidP="006250FA">
      <w:pPr>
        <w:pStyle w:val="FootnoteText"/>
        <w:ind w:left="720"/>
      </w:pPr>
    </w:p>
    <w:sectPr w:rsidR="003B421F" w:rsidRPr="007D189D">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484EA" w14:textId="77777777" w:rsidR="00B550CB" w:rsidRDefault="00B550CB" w:rsidP="00772EC9">
      <w:pPr>
        <w:spacing w:line="240" w:lineRule="auto"/>
      </w:pPr>
      <w:r>
        <w:separator/>
      </w:r>
    </w:p>
  </w:endnote>
  <w:endnote w:type="continuationSeparator" w:id="0">
    <w:p w14:paraId="25AC20B8" w14:textId="77777777" w:rsidR="00B550CB" w:rsidRDefault="00B550CB" w:rsidP="00772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90286"/>
      <w:docPartObj>
        <w:docPartGallery w:val="Page Numbers (Bottom of Page)"/>
        <w:docPartUnique/>
      </w:docPartObj>
    </w:sdtPr>
    <w:sdtEndPr>
      <w:rPr>
        <w:noProof/>
      </w:rPr>
    </w:sdtEndPr>
    <w:sdtContent>
      <w:p w14:paraId="32C0A7F9" w14:textId="1A864885" w:rsidR="00772EC9" w:rsidRDefault="00772E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9713EF" w14:textId="77777777" w:rsidR="00772EC9" w:rsidRDefault="00772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6A9F7" w14:textId="77777777" w:rsidR="00B550CB" w:rsidRDefault="00B550CB" w:rsidP="00772EC9">
      <w:pPr>
        <w:spacing w:line="240" w:lineRule="auto"/>
      </w:pPr>
      <w:r>
        <w:separator/>
      </w:r>
    </w:p>
  </w:footnote>
  <w:footnote w:type="continuationSeparator" w:id="0">
    <w:p w14:paraId="1B3D61FF" w14:textId="77777777" w:rsidR="00B550CB" w:rsidRDefault="00B550CB" w:rsidP="00772EC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95FE8"/>
    <w:multiLevelType w:val="hybridMultilevel"/>
    <w:tmpl w:val="F8EAAA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9872C4"/>
    <w:multiLevelType w:val="hybridMultilevel"/>
    <w:tmpl w:val="FD5A1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B77D5"/>
    <w:multiLevelType w:val="hybridMultilevel"/>
    <w:tmpl w:val="1B82C31E"/>
    <w:lvl w:ilvl="0" w:tplc="EA5EA5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C243FB"/>
    <w:multiLevelType w:val="hybridMultilevel"/>
    <w:tmpl w:val="BF28FBB4"/>
    <w:lvl w:ilvl="0" w:tplc="DB226B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45E5C07"/>
    <w:multiLevelType w:val="hybridMultilevel"/>
    <w:tmpl w:val="189A4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902E33"/>
    <w:multiLevelType w:val="hybridMultilevel"/>
    <w:tmpl w:val="60F64CB2"/>
    <w:lvl w:ilvl="0" w:tplc="AEFA59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1F8"/>
    <w:rsid w:val="00026B87"/>
    <w:rsid w:val="00081463"/>
    <w:rsid w:val="00086BA0"/>
    <w:rsid w:val="000B63B7"/>
    <w:rsid w:val="001238C8"/>
    <w:rsid w:val="00127EBC"/>
    <w:rsid w:val="001B61F8"/>
    <w:rsid w:val="001E5964"/>
    <w:rsid w:val="001F5159"/>
    <w:rsid w:val="00214E86"/>
    <w:rsid w:val="00252260"/>
    <w:rsid w:val="0028553E"/>
    <w:rsid w:val="0029103E"/>
    <w:rsid w:val="002E317D"/>
    <w:rsid w:val="002E76BB"/>
    <w:rsid w:val="003859E3"/>
    <w:rsid w:val="003B421F"/>
    <w:rsid w:val="003C1082"/>
    <w:rsid w:val="003D6479"/>
    <w:rsid w:val="003D7F0B"/>
    <w:rsid w:val="00417E9E"/>
    <w:rsid w:val="004314AC"/>
    <w:rsid w:val="004368C8"/>
    <w:rsid w:val="004A7B73"/>
    <w:rsid w:val="004B3167"/>
    <w:rsid w:val="004E40A2"/>
    <w:rsid w:val="004F0E5E"/>
    <w:rsid w:val="0050581C"/>
    <w:rsid w:val="00593700"/>
    <w:rsid w:val="005A4B7E"/>
    <w:rsid w:val="006250FA"/>
    <w:rsid w:val="006269D2"/>
    <w:rsid w:val="00634805"/>
    <w:rsid w:val="00645C1B"/>
    <w:rsid w:val="0065039D"/>
    <w:rsid w:val="00674E4C"/>
    <w:rsid w:val="006C6CBE"/>
    <w:rsid w:val="0073157F"/>
    <w:rsid w:val="00736615"/>
    <w:rsid w:val="007725E3"/>
    <w:rsid w:val="00772EC9"/>
    <w:rsid w:val="0079344F"/>
    <w:rsid w:val="007D189D"/>
    <w:rsid w:val="007E1F19"/>
    <w:rsid w:val="008451CC"/>
    <w:rsid w:val="00863A77"/>
    <w:rsid w:val="00896692"/>
    <w:rsid w:val="008A103F"/>
    <w:rsid w:val="008F0537"/>
    <w:rsid w:val="00911B47"/>
    <w:rsid w:val="00952D0E"/>
    <w:rsid w:val="009B3532"/>
    <w:rsid w:val="009C079D"/>
    <w:rsid w:val="00A01CC0"/>
    <w:rsid w:val="00AC1FB1"/>
    <w:rsid w:val="00AD725F"/>
    <w:rsid w:val="00B0047C"/>
    <w:rsid w:val="00B10A08"/>
    <w:rsid w:val="00B42DE1"/>
    <w:rsid w:val="00B540AD"/>
    <w:rsid w:val="00B550CB"/>
    <w:rsid w:val="00B91AA6"/>
    <w:rsid w:val="00BE368B"/>
    <w:rsid w:val="00C2705A"/>
    <w:rsid w:val="00C315E4"/>
    <w:rsid w:val="00C469EC"/>
    <w:rsid w:val="00CD3D30"/>
    <w:rsid w:val="00CF34CE"/>
    <w:rsid w:val="00D21D38"/>
    <w:rsid w:val="00D71896"/>
    <w:rsid w:val="00DB0C17"/>
    <w:rsid w:val="00DD13A4"/>
    <w:rsid w:val="00E17995"/>
    <w:rsid w:val="00E2305F"/>
    <w:rsid w:val="00E93B47"/>
    <w:rsid w:val="00EA4852"/>
    <w:rsid w:val="00F02A84"/>
    <w:rsid w:val="00FC68D9"/>
    <w:rsid w:val="00FD17B2"/>
    <w:rsid w:val="00FD5A4B"/>
    <w:rsid w:val="00FE5D50"/>
    <w:rsid w:val="00FF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F4ACC"/>
  <w15:chartTrackingRefBased/>
  <w15:docId w15:val="{432AE354-7A82-4518-9BBD-6F0C5BA00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6"/>
        <w:szCs w:val="26"/>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Footnote text"/>
    <w:next w:val="FootnoteText"/>
    <w:qFormat/>
    <w:rsid w:val="009C0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C079D"/>
    <w:rPr>
      <w:sz w:val="24"/>
      <w:szCs w:val="20"/>
    </w:rPr>
  </w:style>
  <w:style w:type="character" w:customStyle="1" w:styleId="FootnoteTextChar">
    <w:name w:val="Footnote Text Char"/>
    <w:basedOn w:val="DefaultParagraphFont"/>
    <w:link w:val="FootnoteText"/>
    <w:uiPriority w:val="99"/>
    <w:semiHidden/>
    <w:rsid w:val="009C079D"/>
    <w:rPr>
      <w:sz w:val="24"/>
      <w:szCs w:val="20"/>
    </w:rPr>
  </w:style>
  <w:style w:type="character" w:styleId="FootnoteReference">
    <w:name w:val="footnote reference"/>
    <w:basedOn w:val="DefaultParagraphFont"/>
    <w:uiPriority w:val="99"/>
    <w:semiHidden/>
    <w:unhideWhenUsed/>
    <w:rsid w:val="004E40A2"/>
    <w:rPr>
      <w:vertAlign w:val="superscript"/>
    </w:rPr>
  </w:style>
  <w:style w:type="paragraph" w:styleId="Header">
    <w:name w:val="header"/>
    <w:basedOn w:val="Normal"/>
    <w:link w:val="HeaderChar"/>
    <w:uiPriority w:val="99"/>
    <w:unhideWhenUsed/>
    <w:rsid w:val="004E40A2"/>
    <w:pPr>
      <w:tabs>
        <w:tab w:val="center" w:pos="4680"/>
        <w:tab w:val="right" w:pos="9360"/>
      </w:tabs>
    </w:pPr>
  </w:style>
  <w:style w:type="character" w:customStyle="1" w:styleId="HeaderChar">
    <w:name w:val="Header Char"/>
    <w:basedOn w:val="DefaultParagraphFont"/>
    <w:link w:val="Header"/>
    <w:uiPriority w:val="99"/>
    <w:rsid w:val="004E40A2"/>
  </w:style>
  <w:style w:type="paragraph" w:styleId="Footer">
    <w:name w:val="footer"/>
    <w:basedOn w:val="Normal"/>
    <w:link w:val="FooterChar"/>
    <w:uiPriority w:val="99"/>
    <w:unhideWhenUsed/>
    <w:rsid w:val="004E40A2"/>
    <w:pPr>
      <w:tabs>
        <w:tab w:val="center" w:pos="4680"/>
        <w:tab w:val="right" w:pos="9360"/>
      </w:tabs>
    </w:pPr>
  </w:style>
  <w:style w:type="character" w:customStyle="1" w:styleId="FooterChar">
    <w:name w:val="Footer Char"/>
    <w:basedOn w:val="DefaultParagraphFont"/>
    <w:link w:val="Footer"/>
    <w:uiPriority w:val="99"/>
    <w:rsid w:val="004E40A2"/>
  </w:style>
  <w:style w:type="paragraph" w:styleId="ListParagraph">
    <w:name w:val="List Paragraph"/>
    <w:basedOn w:val="Normal"/>
    <w:uiPriority w:val="34"/>
    <w:qFormat/>
    <w:rsid w:val="004E40A2"/>
    <w:pPr>
      <w:ind w:left="720"/>
      <w:contextualSpacing/>
    </w:pPr>
  </w:style>
  <w:style w:type="character" w:styleId="Hyperlink">
    <w:name w:val="Hyperlink"/>
    <w:basedOn w:val="DefaultParagraphFont"/>
    <w:uiPriority w:val="99"/>
    <w:unhideWhenUsed/>
    <w:rsid w:val="00DB0C17"/>
    <w:rPr>
      <w:color w:val="0563C1" w:themeColor="hyperlink"/>
      <w:u w:val="single"/>
    </w:rPr>
  </w:style>
  <w:style w:type="character" w:styleId="UnresolvedMention">
    <w:name w:val="Unresolved Mention"/>
    <w:basedOn w:val="DefaultParagraphFont"/>
    <w:uiPriority w:val="99"/>
    <w:semiHidden/>
    <w:unhideWhenUsed/>
    <w:rsid w:val="00DB0C17"/>
    <w:rPr>
      <w:color w:val="605E5C"/>
      <w:shd w:val="clear" w:color="auto" w:fill="E1DFDD"/>
    </w:rPr>
  </w:style>
  <w:style w:type="character" w:styleId="FollowedHyperlink">
    <w:name w:val="FollowedHyperlink"/>
    <w:basedOn w:val="DefaultParagraphFont"/>
    <w:uiPriority w:val="99"/>
    <w:semiHidden/>
    <w:unhideWhenUsed/>
    <w:rsid w:val="00214E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xnotes.com/tax-notes-federal/financial-instruments-tax-issues/sun-capital-demise-private-equity/2013/08/26/qtml?highlight=%22demise%20of%20private%20equity%22" TargetMode="External"/><Relationship Id="rId13" Type="http://schemas.openxmlformats.org/officeDocument/2006/relationships/hyperlink" Target="https://www.taxnotes.com/tax-notes-today-federal/estate-gift-and-inheritance-taxes/death-remains-disposition/2019/10/21/2b1lk?highlight=%22death%20as%20a%20disposition%22" TargetMode="External"/><Relationship Id="rId18" Type="http://schemas.openxmlformats.org/officeDocument/2006/relationships/hyperlink" Target="https://www.taxnotes.com/tax-notes-today-federal/partnerships/proving-partnership-antiabuse-reg-has-no-place/2018/05/14/281fm?highlight=%22Maynor%22"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taxnotes.com/insurance-expert/benefits-and-pensions/sun-capital-s-limited-impact-taxation-private-equity-funds/2014/07/01/v7k2?highlight=%22Sun%20Capital%22%20%22Rosenthal%22" TargetMode="External"/><Relationship Id="rId12" Type="http://schemas.openxmlformats.org/officeDocument/2006/relationships/hyperlink" Target="https://www.taxnotes.com/tax-notes-today-federal/estate-gift-and-inheritance-taxes/how-read-code-regs-and-rulings-response-willens/2019/11/04/2b2z9?highlight=%22death%20as%20a%20disposition%22" TargetMode="External"/><Relationship Id="rId17" Type="http://schemas.openxmlformats.org/officeDocument/2006/relationships/hyperlink" Target="https://www.taxnotes.com/tax-notes-today-federal/partnership-taxation/subchapter-k-and-codified-economic-substance-doctrine/2010/07/20/w5y9?highlight=%22Jackel%22%20%22dawn%20of%20a%20new%20era%22" TargetMode="External"/><Relationship Id="rId2" Type="http://schemas.openxmlformats.org/officeDocument/2006/relationships/styles" Target="styles.xml"/><Relationship Id="rId16" Type="http://schemas.openxmlformats.org/officeDocument/2006/relationships/hyperlink" Target="https://www.taxnotes.com/tax-notes-today-federal/interest-income/death-disposition-redux/2019/10/07/29yl3?highlight=%22death%20as%20a%20disposition%2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ackeltaxlaw.com/wp-content/uploads/2020/11/SSRN-id2661623.pdf" TargetMode="External"/><Relationship Id="rId5" Type="http://schemas.openxmlformats.org/officeDocument/2006/relationships/footnotes" Target="footnotes.xml"/><Relationship Id="rId15" Type="http://schemas.openxmlformats.org/officeDocument/2006/relationships/hyperlink" Target="https://www.taxnotes.com/tax-notes-today-federal/property-taxation/dispositions-plain-and-simple/2019/10/28/2b26f" TargetMode="External"/><Relationship Id="rId10" Type="http://schemas.openxmlformats.org/officeDocument/2006/relationships/hyperlink" Target="https://t.co/8FiVYFsaKJ?amp=1" TargetMode="External"/><Relationship Id="rId19" Type="http://schemas.openxmlformats.org/officeDocument/2006/relationships/hyperlink" Target="https://www.taxnotes.com/tax-notes-today-federal/tax-policy/time-revoke-partnership-antiabuse-regulation/2018/02/14/1x9dm?highlight=%22Maynor%22" TargetMode="External"/><Relationship Id="rId4" Type="http://schemas.openxmlformats.org/officeDocument/2006/relationships/webSettings" Target="webSettings.xml"/><Relationship Id="rId9" Type="http://schemas.openxmlformats.org/officeDocument/2006/relationships/hyperlink" Target="https://t.co/ICigU7tMgZ?amp=1" TargetMode="External"/><Relationship Id="rId14" Type="http://schemas.openxmlformats.org/officeDocument/2006/relationships/hyperlink" Target="https://www.taxnotes.com/tax-notes-today-federal/interest-income/partnership-interest-transfer-decedent-not-disposition/2019/10/15/2b0sr?highlight=%22death%20as%20a%20disposition%2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 Jackel</dc:creator>
  <cp:keywords/>
  <dc:description/>
  <cp:lastModifiedBy>Monte Jackel</cp:lastModifiedBy>
  <cp:revision>20</cp:revision>
  <dcterms:created xsi:type="dcterms:W3CDTF">2020-11-16T14:30:00Z</dcterms:created>
  <dcterms:modified xsi:type="dcterms:W3CDTF">2020-11-16T14:53:00Z</dcterms:modified>
</cp:coreProperties>
</file>