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50A7" w14:textId="5286ADE7" w:rsidR="0065039D" w:rsidRPr="00F05680" w:rsidRDefault="00262533">
      <w:pPr>
        <w:rPr>
          <w:rFonts w:cs="Arial"/>
          <w:sz w:val="28"/>
          <w:szCs w:val="28"/>
        </w:rPr>
      </w:pPr>
      <w:r w:rsidRPr="00F05680">
        <w:rPr>
          <w:rFonts w:cs="Arial"/>
          <w:sz w:val="28"/>
          <w:szCs w:val="28"/>
        </w:rPr>
        <w:t>OF LEGISLATIVE HISTORY AND REGULATION PREAMBLES</w:t>
      </w:r>
    </w:p>
    <w:p w14:paraId="13CA570E" w14:textId="46476982" w:rsidR="001A4226" w:rsidRPr="00F05680" w:rsidRDefault="001A4226" w:rsidP="001A4226">
      <w:pPr>
        <w:pStyle w:val="FootnoteText"/>
        <w:rPr>
          <w:rFonts w:cs="Arial"/>
          <w:sz w:val="28"/>
          <w:szCs w:val="28"/>
        </w:rPr>
      </w:pPr>
      <w:r w:rsidRPr="00F05680">
        <w:rPr>
          <w:rFonts w:cs="Arial"/>
          <w:sz w:val="28"/>
          <w:szCs w:val="28"/>
        </w:rPr>
        <w:t>Monte A. Jackel</w:t>
      </w:r>
    </w:p>
    <w:p w14:paraId="3CA77772" w14:textId="63FD8083" w:rsidR="001A4226" w:rsidRDefault="001A4226" w:rsidP="001A4226">
      <w:pPr>
        <w:pStyle w:val="FootnoteText"/>
        <w:rPr>
          <w:rFonts w:cs="Arial"/>
          <w:sz w:val="28"/>
          <w:szCs w:val="28"/>
        </w:rPr>
      </w:pPr>
      <w:r w:rsidRPr="00F05680">
        <w:rPr>
          <w:rFonts w:cs="Arial"/>
          <w:sz w:val="28"/>
          <w:szCs w:val="28"/>
        </w:rPr>
        <w:t>Silver Spring, MD</w:t>
      </w:r>
    </w:p>
    <w:p w14:paraId="0F38003A" w14:textId="60ABF4C4" w:rsidR="001B6AE5" w:rsidRPr="00F05680" w:rsidRDefault="001B6AE5" w:rsidP="001A4226">
      <w:pPr>
        <w:pStyle w:val="FootnoteText"/>
        <w:rPr>
          <w:rFonts w:cs="Arial"/>
          <w:sz w:val="28"/>
          <w:szCs w:val="28"/>
        </w:rPr>
      </w:pPr>
      <w:r>
        <w:rPr>
          <w:rFonts w:cs="Arial"/>
          <w:sz w:val="28"/>
          <w:szCs w:val="28"/>
        </w:rPr>
        <w:t>September 21, 2020</w:t>
      </w:r>
    </w:p>
    <w:p w14:paraId="5716183D" w14:textId="05ACD10D" w:rsidR="004D3E87" w:rsidRPr="00F05680" w:rsidRDefault="004D3E87" w:rsidP="004D3E87">
      <w:pPr>
        <w:pStyle w:val="FootnoteText"/>
        <w:rPr>
          <w:rFonts w:cs="Arial"/>
          <w:sz w:val="28"/>
          <w:szCs w:val="28"/>
        </w:rPr>
      </w:pPr>
    </w:p>
    <w:p w14:paraId="51DCA0FC" w14:textId="67F98403" w:rsidR="004D3E87" w:rsidRPr="00F05680" w:rsidRDefault="004D3E87" w:rsidP="00BA00C2">
      <w:pPr>
        <w:pStyle w:val="FootnoteText"/>
        <w:rPr>
          <w:rFonts w:cs="Arial"/>
          <w:sz w:val="28"/>
          <w:szCs w:val="28"/>
        </w:rPr>
      </w:pPr>
      <w:r w:rsidRPr="00F05680">
        <w:rPr>
          <w:rFonts w:cs="Arial"/>
          <w:sz w:val="28"/>
          <w:szCs w:val="28"/>
        </w:rPr>
        <w:t>What is the import of a regulation preamble? Is it the equivalent of legisla</w:t>
      </w:r>
      <w:r w:rsidR="00BA00C2" w:rsidRPr="00F05680">
        <w:rPr>
          <w:rFonts w:cs="Arial"/>
          <w:sz w:val="28"/>
          <w:szCs w:val="28"/>
        </w:rPr>
        <w:t xml:space="preserve">tive history to a statute? </w:t>
      </w:r>
      <w:r w:rsidR="0067312B">
        <w:rPr>
          <w:rFonts w:cs="Arial"/>
          <w:sz w:val="28"/>
          <w:szCs w:val="28"/>
        </w:rPr>
        <w:t xml:space="preserve">What if the two provisions conflict? </w:t>
      </w:r>
    </w:p>
    <w:p w14:paraId="2B774764" w14:textId="19FA84C6" w:rsidR="00F13427" w:rsidRPr="00F05680" w:rsidRDefault="00F13427" w:rsidP="00BA00C2">
      <w:pPr>
        <w:pStyle w:val="FootnoteText"/>
        <w:rPr>
          <w:rFonts w:cs="Arial"/>
          <w:sz w:val="28"/>
          <w:szCs w:val="28"/>
        </w:rPr>
      </w:pPr>
    </w:p>
    <w:p w14:paraId="1DB3AB73" w14:textId="4CFFD57B" w:rsidR="009B0AE5" w:rsidRDefault="0067312B" w:rsidP="00BA00C2">
      <w:pPr>
        <w:pStyle w:val="FootnoteText"/>
        <w:rPr>
          <w:rFonts w:cs="Arial"/>
          <w:sz w:val="28"/>
          <w:szCs w:val="28"/>
        </w:rPr>
      </w:pPr>
      <w:r>
        <w:rPr>
          <w:rFonts w:cs="Arial"/>
          <w:sz w:val="28"/>
          <w:szCs w:val="28"/>
        </w:rPr>
        <w:t xml:space="preserve">In this regard, </w:t>
      </w:r>
      <w:r w:rsidR="00F13427" w:rsidRPr="00F05680">
        <w:rPr>
          <w:rFonts w:cs="Arial"/>
          <w:sz w:val="28"/>
          <w:szCs w:val="28"/>
        </w:rPr>
        <w:t>I came across an article in Tax Notes Federal recently</w:t>
      </w:r>
      <w:r>
        <w:rPr>
          <w:rStyle w:val="FootnoteReference"/>
          <w:rFonts w:cs="Arial"/>
          <w:sz w:val="28"/>
          <w:szCs w:val="28"/>
        </w:rPr>
        <w:footnoteReference w:id="1"/>
      </w:r>
      <w:r w:rsidR="00F13427" w:rsidRPr="00F05680">
        <w:rPr>
          <w:rFonts w:cs="Arial"/>
          <w:sz w:val="28"/>
          <w:szCs w:val="28"/>
        </w:rPr>
        <w:t xml:space="preserve"> </w:t>
      </w:r>
      <w:r w:rsidR="00E24334" w:rsidRPr="00F05680">
        <w:rPr>
          <w:rFonts w:cs="Arial"/>
          <w:sz w:val="28"/>
          <w:szCs w:val="28"/>
        </w:rPr>
        <w:t xml:space="preserve">that dealt with the </w:t>
      </w:r>
      <w:r w:rsidR="00681357" w:rsidRPr="00F05680">
        <w:rPr>
          <w:rFonts w:cs="Arial"/>
          <w:sz w:val="28"/>
          <w:szCs w:val="28"/>
        </w:rPr>
        <w:t xml:space="preserve">1997 tax act </w:t>
      </w:r>
      <w:r w:rsidR="00E24334" w:rsidRPr="00F05680">
        <w:rPr>
          <w:rFonts w:cs="Arial"/>
          <w:sz w:val="28"/>
          <w:szCs w:val="28"/>
        </w:rPr>
        <w:t xml:space="preserve">amendment of sections 6111(d) and 6662(d)(2)(C), relating to </w:t>
      </w:r>
      <w:r w:rsidR="001A4226" w:rsidRPr="00F05680">
        <w:rPr>
          <w:rFonts w:cs="Arial"/>
          <w:sz w:val="28"/>
          <w:szCs w:val="28"/>
        </w:rPr>
        <w:t xml:space="preserve">what is a “tax shelter”. </w:t>
      </w:r>
      <w:r w:rsidR="00681357" w:rsidRPr="00F05680">
        <w:rPr>
          <w:rFonts w:cs="Arial"/>
          <w:sz w:val="28"/>
          <w:szCs w:val="28"/>
        </w:rPr>
        <w:t xml:space="preserve">Both provisions changed the statutes so that </w:t>
      </w:r>
      <w:r w:rsidR="00F05680" w:rsidRPr="00F05680">
        <w:rPr>
          <w:rFonts w:cs="Arial"/>
          <w:sz w:val="28"/>
          <w:szCs w:val="28"/>
        </w:rPr>
        <w:t xml:space="preserve">only “a significant purpose” of tax avoidance was </w:t>
      </w:r>
      <w:r w:rsidR="00F05680">
        <w:rPr>
          <w:rFonts w:cs="Arial"/>
          <w:sz w:val="28"/>
          <w:szCs w:val="28"/>
        </w:rPr>
        <w:t>enough to have a tax shelter</w:t>
      </w:r>
      <w:r w:rsidR="000F1E83">
        <w:rPr>
          <w:rStyle w:val="FootnoteReference"/>
          <w:rFonts w:cs="Arial"/>
          <w:sz w:val="28"/>
          <w:szCs w:val="28"/>
        </w:rPr>
        <w:footnoteReference w:id="2"/>
      </w:r>
      <w:r w:rsidR="00F05680">
        <w:rPr>
          <w:rFonts w:cs="Arial"/>
          <w:sz w:val="28"/>
          <w:szCs w:val="28"/>
        </w:rPr>
        <w:t xml:space="preserve">. </w:t>
      </w:r>
    </w:p>
    <w:p w14:paraId="4E15C596" w14:textId="77777777" w:rsidR="009B0AE5" w:rsidRDefault="009B0AE5" w:rsidP="00BA00C2">
      <w:pPr>
        <w:pStyle w:val="FootnoteText"/>
        <w:rPr>
          <w:rFonts w:cs="Arial"/>
          <w:sz w:val="28"/>
          <w:szCs w:val="28"/>
        </w:rPr>
      </w:pPr>
    </w:p>
    <w:p w14:paraId="3AC45FB2" w14:textId="0C56104B" w:rsidR="00F13427" w:rsidRDefault="001A4226" w:rsidP="00BA00C2">
      <w:pPr>
        <w:pStyle w:val="FootnoteText"/>
        <w:rPr>
          <w:rFonts w:cs="Arial"/>
          <w:sz w:val="28"/>
          <w:szCs w:val="28"/>
        </w:rPr>
      </w:pPr>
      <w:r w:rsidRPr="00F05680">
        <w:rPr>
          <w:rFonts w:cs="Arial"/>
          <w:sz w:val="28"/>
          <w:szCs w:val="28"/>
        </w:rPr>
        <w:t xml:space="preserve">The actual </w:t>
      </w:r>
      <w:r w:rsidR="00312C3F">
        <w:rPr>
          <w:rFonts w:cs="Arial"/>
          <w:sz w:val="28"/>
          <w:szCs w:val="28"/>
        </w:rPr>
        <w:t xml:space="preserve">subject of the </w:t>
      </w:r>
      <w:r w:rsidRPr="00F05680">
        <w:rPr>
          <w:rFonts w:cs="Arial"/>
          <w:sz w:val="28"/>
          <w:szCs w:val="28"/>
        </w:rPr>
        <w:t>article was focused on section 7525, the accountant-lawyer privilege, which does not apply to tax shelters under section 6662</w:t>
      </w:r>
      <w:r w:rsidR="00312C3F">
        <w:rPr>
          <w:rFonts w:cs="Arial"/>
          <w:sz w:val="28"/>
          <w:szCs w:val="28"/>
        </w:rPr>
        <w:t>(d)</w:t>
      </w:r>
      <w:r w:rsidRPr="00F05680">
        <w:rPr>
          <w:rFonts w:cs="Arial"/>
          <w:sz w:val="28"/>
          <w:szCs w:val="28"/>
        </w:rPr>
        <w:t xml:space="preserve">. </w:t>
      </w:r>
      <w:r w:rsidR="00D2198B">
        <w:rPr>
          <w:rFonts w:cs="Arial"/>
          <w:sz w:val="28"/>
          <w:szCs w:val="28"/>
        </w:rPr>
        <w:t xml:space="preserve">The article </w:t>
      </w:r>
      <w:r w:rsidR="00140045" w:rsidRPr="00F05680">
        <w:rPr>
          <w:rFonts w:cs="Arial"/>
          <w:sz w:val="28"/>
          <w:szCs w:val="28"/>
        </w:rPr>
        <w:t xml:space="preserve">then correctly pointed out that the pertinent legislative history </w:t>
      </w:r>
      <w:r w:rsidR="00F05680">
        <w:rPr>
          <w:rFonts w:cs="Arial"/>
          <w:sz w:val="28"/>
          <w:szCs w:val="28"/>
        </w:rPr>
        <w:t>in 1997 stated that the change was made to section 6662(d)’s definition of tax shelter to conform to the language “a significant purpose” that was added to section 6111(d)</w:t>
      </w:r>
      <w:r w:rsidR="000C5659">
        <w:rPr>
          <w:rFonts w:cs="Arial"/>
          <w:sz w:val="28"/>
          <w:szCs w:val="28"/>
        </w:rPr>
        <w:t xml:space="preserve"> at the same time</w:t>
      </w:r>
      <w:r w:rsidR="00312C3F">
        <w:rPr>
          <w:rStyle w:val="FootnoteReference"/>
          <w:rFonts w:cs="Arial"/>
          <w:sz w:val="28"/>
          <w:szCs w:val="28"/>
        </w:rPr>
        <w:footnoteReference w:id="3"/>
      </w:r>
      <w:r w:rsidR="00F05680">
        <w:rPr>
          <w:rFonts w:cs="Arial"/>
          <w:sz w:val="28"/>
          <w:szCs w:val="28"/>
        </w:rPr>
        <w:t xml:space="preserve">. Section </w:t>
      </w:r>
      <w:r w:rsidR="00F05680">
        <w:rPr>
          <w:rFonts w:cs="Arial"/>
          <w:sz w:val="28"/>
          <w:szCs w:val="28"/>
        </w:rPr>
        <w:lastRenderedPageBreak/>
        <w:t xml:space="preserve">6662(d) had previously used “the principal purpose” of tax avoidance standard. </w:t>
      </w:r>
    </w:p>
    <w:p w14:paraId="57469ACB" w14:textId="4AAD51A9" w:rsidR="00F05680" w:rsidRDefault="00F05680" w:rsidP="00BA00C2">
      <w:pPr>
        <w:pStyle w:val="FootnoteText"/>
        <w:rPr>
          <w:rFonts w:cs="Arial"/>
          <w:sz w:val="28"/>
          <w:szCs w:val="28"/>
        </w:rPr>
      </w:pPr>
    </w:p>
    <w:p w14:paraId="76229A28" w14:textId="40D62746" w:rsidR="00F05680" w:rsidRDefault="00423A81" w:rsidP="00BA00C2">
      <w:pPr>
        <w:pStyle w:val="FootnoteText"/>
        <w:rPr>
          <w:rFonts w:cs="Arial"/>
          <w:sz w:val="28"/>
          <w:szCs w:val="28"/>
        </w:rPr>
      </w:pPr>
      <w:r>
        <w:rPr>
          <w:rFonts w:cs="Arial"/>
          <w:sz w:val="28"/>
          <w:szCs w:val="28"/>
        </w:rPr>
        <w:t xml:space="preserve">In the case of the </w:t>
      </w:r>
      <w:r w:rsidR="00E14029">
        <w:rPr>
          <w:rFonts w:cs="Arial"/>
          <w:sz w:val="28"/>
          <w:szCs w:val="28"/>
        </w:rPr>
        <w:t xml:space="preserve">interrelationship between sections 6111(d) and 6662(d), however, the Treasury and IRS issued </w:t>
      </w:r>
      <w:r w:rsidR="00115D74">
        <w:rPr>
          <w:rFonts w:cs="Arial"/>
          <w:sz w:val="28"/>
          <w:szCs w:val="28"/>
        </w:rPr>
        <w:t xml:space="preserve">temporary (now final) </w:t>
      </w:r>
      <w:r w:rsidR="00E14029">
        <w:rPr>
          <w:rFonts w:cs="Arial"/>
          <w:sz w:val="28"/>
          <w:szCs w:val="28"/>
        </w:rPr>
        <w:t>regulations in 2000 relating solely to section 6111(d)</w:t>
      </w:r>
      <w:r w:rsidR="005A4127">
        <w:rPr>
          <w:rStyle w:val="FootnoteReference"/>
          <w:rFonts w:cs="Arial"/>
          <w:sz w:val="28"/>
          <w:szCs w:val="28"/>
        </w:rPr>
        <w:footnoteReference w:id="4"/>
      </w:r>
      <w:r w:rsidR="00E14029">
        <w:rPr>
          <w:rFonts w:cs="Arial"/>
          <w:sz w:val="28"/>
          <w:szCs w:val="28"/>
        </w:rPr>
        <w:t xml:space="preserve">. </w:t>
      </w:r>
      <w:r w:rsidR="0067312B">
        <w:rPr>
          <w:rFonts w:cs="Arial"/>
          <w:sz w:val="28"/>
          <w:szCs w:val="28"/>
        </w:rPr>
        <w:t>Without any citation to legislative history, the temporary regulation preamble in 2000 stated that even though both statutes used the same</w:t>
      </w:r>
      <w:r w:rsidR="00EE6BCF">
        <w:rPr>
          <w:rFonts w:cs="Arial"/>
          <w:sz w:val="28"/>
          <w:szCs w:val="28"/>
        </w:rPr>
        <w:t xml:space="preserve"> or very similar</w:t>
      </w:r>
      <w:r w:rsidR="0067312B">
        <w:rPr>
          <w:rFonts w:cs="Arial"/>
          <w:sz w:val="28"/>
          <w:szCs w:val="28"/>
        </w:rPr>
        <w:t xml:space="preserve"> language, the 2000 temporary regulations (now final) were intended solely to define what is a significant purpose under section 6111(d), leaving section 6662(d) undefined</w:t>
      </w:r>
      <w:r w:rsidR="005A4127">
        <w:rPr>
          <w:rStyle w:val="FootnoteReference"/>
          <w:rFonts w:cs="Arial"/>
          <w:sz w:val="28"/>
          <w:szCs w:val="28"/>
        </w:rPr>
        <w:footnoteReference w:id="5"/>
      </w:r>
      <w:r w:rsidR="0067312B">
        <w:rPr>
          <w:rFonts w:cs="Arial"/>
          <w:sz w:val="28"/>
          <w:szCs w:val="28"/>
        </w:rPr>
        <w:t xml:space="preserve">. This status remains to this day. </w:t>
      </w:r>
    </w:p>
    <w:p w14:paraId="77BFC398" w14:textId="5679A1EF" w:rsidR="004A5364" w:rsidRDefault="004A5364" w:rsidP="00BA00C2">
      <w:pPr>
        <w:pStyle w:val="FootnoteText"/>
        <w:rPr>
          <w:rFonts w:cs="Arial"/>
          <w:sz w:val="28"/>
          <w:szCs w:val="28"/>
        </w:rPr>
      </w:pPr>
    </w:p>
    <w:p w14:paraId="13462904" w14:textId="6BD47C9C" w:rsidR="004A5364" w:rsidRDefault="00311E39" w:rsidP="00BA00C2">
      <w:pPr>
        <w:pStyle w:val="FootnoteText"/>
        <w:rPr>
          <w:rFonts w:cs="Arial"/>
          <w:sz w:val="28"/>
          <w:szCs w:val="28"/>
        </w:rPr>
      </w:pPr>
      <w:r>
        <w:rPr>
          <w:rFonts w:cs="Arial"/>
          <w:sz w:val="28"/>
          <w:szCs w:val="28"/>
        </w:rPr>
        <w:t xml:space="preserve">Part 32.1 of the Internal Revenue Manual contains the Chief Counsel </w:t>
      </w:r>
      <w:r w:rsidR="00D5605F">
        <w:rPr>
          <w:rFonts w:cs="Arial"/>
          <w:sz w:val="28"/>
          <w:szCs w:val="28"/>
        </w:rPr>
        <w:t xml:space="preserve">Regulation </w:t>
      </w:r>
      <w:r>
        <w:rPr>
          <w:rFonts w:cs="Arial"/>
          <w:sz w:val="28"/>
          <w:szCs w:val="28"/>
        </w:rPr>
        <w:t xml:space="preserve">Handbook. </w:t>
      </w:r>
      <w:r w:rsidR="004F1D03">
        <w:rPr>
          <w:rFonts w:cs="Arial"/>
          <w:sz w:val="28"/>
          <w:szCs w:val="28"/>
        </w:rPr>
        <w:t xml:space="preserve">Part 32.1.2 </w:t>
      </w:r>
      <w:r w:rsidR="00FC7B3E">
        <w:rPr>
          <w:rFonts w:cs="Arial"/>
          <w:sz w:val="28"/>
          <w:szCs w:val="28"/>
        </w:rPr>
        <w:t xml:space="preserve">of the handbook </w:t>
      </w:r>
      <w:r w:rsidR="004F1D03">
        <w:rPr>
          <w:rFonts w:cs="Arial"/>
          <w:sz w:val="28"/>
          <w:szCs w:val="28"/>
        </w:rPr>
        <w:t>deals with the procedural requirements for regulation projects</w:t>
      </w:r>
      <w:r w:rsidR="00997609">
        <w:rPr>
          <w:rFonts w:cs="Arial"/>
          <w:sz w:val="28"/>
          <w:szCs w:val="28"/>
        </w:rPr>
        <w:t>,</w:t>
      </w:r>
      <w:r w:rsidR="004F1D03">
        <w:rPr>
          <w:rFonts w:cs="Arial"/>
          <w:sz w:val="28"/>
          <w:szCs w:val="28"/>
        </w:rPr>
        <w:t xml:space="preserve"> and </w:t>
      </w:r>
      <w:r w:rsidR="005C2B2B">
        <w:rPr>
          <w:rFonts w:cs="Arial"/>
          <w:sz w:val="28"/>
          <w:szCs w:val="28"/>
        </w:rPr>
        <w:t>part 32.1.5</w:t>
      </w:r>
      <w:r w:rsidR="002B4B18">
        <w:rPr>
          <w:rFonts w:cs="Arial"/>
          <w:sz w:val="28"/>
          <w:szCs w:val="28"/>
        </w:rPr>
        <w:t xml:space="preserve"> deals with the required format for regulations. </w:t>
      </w:r>
      <w:r w:rsidR="00612730">
        <w:rPr>
          <w:rFonts w:cs="Arial"/>
          <w:sz w:val="28"/>
          <w:szCs w:val="28"/>
        </w:rPr>
        <w:t xml:space="preserve">The procedural aspects </w:t>
      </w:r>
      <w:r w:rsidR="00BE0425">
        <w:rPr>
          <w:rFonts w:cs="Arial"/>
          <w:sz w:val="28"/>
          <w:szCs w:val="28"/>
        </w:rPr>
        <w:t xml:space="preserve">deal with </w:t>
      </w:r>
      <w:r w:rsidR="00612730">
        <w:rPr>
          <w:rFonts w:cs="Arial"/>
          <w:sz w:val="28"/>
          <w:szCs w:val="28"/>
        </w:rPr>
        <w:t xml:space="preserve">certain requirements </w:t>
      </w:r>
      <w:r w:rsidR="00BE0425">
        <w:rPr>
          <w:rFonts w:cs="Arial"/>
          <w:sz w:val="28"/>
          <w:szCs w:val="28"/>
        </w:rPr>
        <w:t xml:space="preserve">of </w:t>
      </w:r>
      <w:r w:rsidR="00612730">
        <w:rPr>
          <w:rFonts w:cs="Arial"/>
          <w:sz w:val="28"/>
          <w:szCs w:val="28"/>
        </w:rPr>
        <w:t>the Administrative Procedure Act and other laws and rules to which a regulation is generally subject.</w:t>
      </w:r>
      <w:r w:rsidR="00997609">
        <w:rPr>
          <w:rFonts w:cs="Arial"/>
          <w:sz w:val="28"/>
          <w:szCs w:val="28"/>
        </w:rPr>
        <w:t xml:space="preserve"> </w:t>
      </w:r>
      <w:r w:rsidR="00BE0425">
        <w:rPr>
          <w:rFonts w:cs="Arial"/>
          <w:sz w:val="28"/>
          <w:szCs w:val="28"/>
        </w:rPr>
        <w:t xml:space="preserve">The required format aspects </w:t>
      </w:r>
      <w:r w:rsidR="00997609">
        <w:rPr>
          <w:rFonts w:cs="Arial"/>
          <w:sz w:val="28"/>
          <w:szCs w:val="28"/>
        </w:rPr>
        <w:t xml:space="preserve">of the handbook </w:t>
      </w:r>
      <w:r w:rsidR="00B0398F">
        <w:rPr>
          <w:rFonts w:cs="Arial"/>
          <w:sz w:val="28"/>
          <w:szCs w:val="28"/>
        </w:rPr>
        <w:t xml:space="preserve">contain provisions such as the background law </w:t>
      </w:r>
      <w:r w:rsidR="00855BDB">
        <w:rPr>
          <w:rFonts w:cs="Arial"/>
          <w:sz w:val="28"/>
          <w:szCs w:val="28"/>
        </w:rPr>
        <w:t xml:space="preserve">section </w:t>
      </w:r>
      <w:r w:rsidR="00997609">
        <w:rPr>
          <w:rFonts w:cs="Arial"/>
          <w:sz w:val="28"/>
          <w:szCs w:val="28"/>
        </w:rPr>
        <w:t xml:space="preserve">at part </w:t>
      </w:r>
      <w:r w:rsidR="00855BDB">
        <w:rPr>
          <w:rFonts w:cs="Arial"/>
          <w:sz w:val="28"/>
          <w:szCs w:val="28"/>
        </w:rPr>
        <w:t xml:space="preserve">32.1.5.4.7.2, and the explanation of provisions </w:t>
      </w:r>
      <w:r w:rsidR="002937BE">
        <w:rPr>
          <w:rFonts w:cs="Arial"/>
          <w:sz w:val="28"/>
          <w:szCs w:val="28"/>
        </w:rPr>
        <w:t xml:space="preserve">section at part </w:t>
      </w:r>
      <w:r w:rsidR="00855BDB">
        <w:rPr>
          <w:rFonts w:cs="Arial"/>
          <w:sz w:val="28"/>
          <w:szCs w:val="28"/>
        </w:rPr>
        <w:t xml:space="preserve">32.1.5.4.7.3. </w:t>
      </w:r>
      <w:r w:rsidR="002937BE">
        <w:rPr>
          <w:rFonts w:cs="Arial"/>
          <w:sz w:val="28"/>
          <w:szCs w:val="28"/>
        </w:rPr>
        <w:t xml:space="preserve">It is the </w:t>
      </w:r>
      <w:r w:rsidR="001E378C">
        <w:rPr>
          <w:rFonts w:cs="Arial"/>
          <w:sz w:val="28"/>
          <w:szCs w:val="28"/>
        </w:rPr>
        <w:t xml:space="preserve">background section of T.D. 8876 </w:t>
      </w:r>
      <w:r w:rsidR="002937BE">
        <w:rPr>
          <w:rFonts w:cs="Arial"/>
          <w:sz w:val="28"/>
          <w:szCs w:val="28"/>
        </w:rPr>
        <w:t xml:space="preserve">that </w:t>
      </w:r>
      <w:r w:rsidR="001E378C">
        <w:rPr>
          <w:rFonts w:cs="Arial"/>
          <w:sz w:val="28"/>
          <w:szCs w:val="28"/>
        </w:rPr>
        <w:t xml:space="preserve">contains the language that states that the regulation cannot be applied to section </w:t>
      </w:r>
      <w:r w:rsidR="001E378C">
        <w:rPr>
          <w:rFonts w:cs="Arial"/>
          <w:sz w:val="28"/>
          <w:szCs w:val="28"/>
        </w:rPr>
        <w:lastRenderedPageBreak/>
        <w:t>6662(d) despite the parallel language</w:t>
      </w:r>
      <w:r w:rsidR="002937BE">
        <w:rPr>
          <w:rFonts w:cs="Arial"/>
          <w:sz w:val="28"/>
          <w:szCs w:val="28"/>
        </w:rPr>
        <w:t xml:space="preserve"> of both provisions</w:t>
      </w:r>
      <w:r w:rsidR="00BB11B7">
        <w:rPr>
          <w:rFonts w:cs="Arial"/>
          <w:sz w:val="28"/>
          <w:szCs w:val="28"/>
        </w:rPr>
        <w:t xml:space="preserve"> as enacted in the 1997 tax act</w:t>
      </w:r>
      <w:r w:rsidR="001E378C">
        <w:rPr>
          <w:rFonts w:cs="Arial"/>
          <w:sz w:val="28"/>
          <w:szCs w:val="28"/>
        </w:rPr>
        <w:t>.</w:t>
      </w:r>
      <w:r w:rsidR="001E378C">
        <w:rPr>
          <w:rStyle w:val="FootnoteReference"/>
          <w:rFonts w:cs="Arial"/>
          <w:sz w:val="28"/>
          <w:szCs w:val="28"/>
        </w:rPr>
        <w:footnoteReference w:id="6"/>
      </w:r>
    </w:p>
    <w:p w14:paraId="481DC96E" w14:textId="39C5539C" w:rsidR="00B0176A" w:rsidRDefault="00B0176A" w:rsidP="00BA00C2">
      <w:pPr>
        <w:pStyle w:val="FootnoteText"/>
        <w:rPr>
          <w:rFonts w:cs="Arial"/>
          <w:sz w:val="28"/>
          <w:szCs w:val="28"/>
        </w:rPr>
      </w:pPr>
    </w:p>
    <w:p w14:paraId="6225488F" w14:textId="2591B4C8" w:rsidR="00B0176A" w:rsidRDefault="00B0176A" w:rsidP="00BA00C2">
      <w:pPr>
        <w:pStyle w:val="FootnoteText"/>
        <w:rPr>
          <w:rFonts w:cs="Arial"/>
          <w:sz w:val="28"/>
          <w:szCs w:val="28"/>
        </w:rPr>
      </w:pPr>
      <w:r>
        <w:rPr>
          <w:rFonts w:cs="Arial"/>
          <w:sz w:val="28"/>
          <w:szCs w:val="28"/>
        </w:rPr>
        <w:t>Regulation §1.6662-4</w:t>
      </w:r>
      <w:r w:rsidR="00030213">
        <w:rPr>
          <w:rFonts w:cs="Arial"/>
          <w:sz w:val="28"/>
          <w:szCs w:val="28"/>
        </w:rPr>
        <w:t xml:space="preserve">(d)(3)(iii), in listing the types of authority for purposes of the substantial authority defense to the substantial understatement penalty of section 6662 lists both </w:t>
      </w:r>
      <w:r w:rsidR="00AD4364">
        <w:rPr>
          <w:rFonts w:cs="Arial"/>
          <w:sz w:val="28"/>
          <w:szCs w:val="28"/>
        </w:rPr>
        <w:t xml:space="preserve">“regulations construing [the Internal Revenue Code]” and </w:t>
      </w:r>
      <w:r w:rsidR="00DA0678">
        <w:rPr>
          <w:rFonts w:cs="Arial"/>
          <w:sz w:val="28"/>
          <w:szCs w:val="28"/>
        </w:rPr>
        <w:t>“General Explanations of tax legislation” written by the Joint Committee on Taxation.</w:t>
      </w:r>
      <w:r w:rsidR="00FE3118">
        <w:rPr>
          <w:rFonts w:cs="Arial"/>
          <w:sz w:val="28"/>
          <w:szCs w:val="28"/>
        </w:rPr>
        <w:t xml:space="preserve"> This regulation also </w:t>
      </w:r>
      <w:r w:rsidR="00B71519">
        <w:rPr>
          <w:rFonts w:cs="Arial"/>
          <w:sz w:val="28"/>
          <w:szCs w:val="28"/>
        </w:rPr>
        <w:t>references “</w:t>
      </w:r>
      <w:r w:rsidR="005A65F1">
        <w:rPr>
          <w:rFonts w:cs="Arial"/>
          <w:sz w:val="28"/>
          <w:szCs w:val="28"/>
        </w:rPr>
        <w:t xml:space="preserve">congressional intent as reflected in committee reports” </w:t>
      </w:r>
      <w:r w:rsidR="00BD1BFB">
        <w:rPr>
          <w:rFonts w:cs="Arial"/>
          <w:sz w:val="28"/>
          <w:szCs w:val="28"/>
        </w:rPr>
        <w:t xml:space="preserve">as authority as well. </w:t>
      </w:r>
      <w:r w:rsidR="00DA0678">
        <w:rPr>
          <w:rFonts w:cs="Arial"/>
          <w:sz w:val="28"/>
          <w:szCs w:val="28"/>
        </w:rPr>
        <w:t xml:space="preserve"> </w:t>
      </w:r>
      <w:r w:rsidR="00DE446A">
        <w:rPr>
          <w:rFonts w:cs="Arial"/>
          <w:sz w:val="28"/>
          <w:szCs w:val="28"/>
        </w:rPr>
        <w:t>The actual legislative history of both the House and Senate</w:t>
      </w:r>
      <w:r w:rsidR="00DE446A">
        <w:rPr>
          <w:rStyle w:val="FootnoteReference"/>
          <w:rFonts w:cs="Arial"/>
          <w:sz w:val="28"/>
          <w:szCs w:val="28"/>
        </w:rPr>
        <w:footnoteReference w:id="7"/>
      </w:r>
      <w:r w:rsidR="00FE3118">
        <w:rPr>
          <w:rFonts w:cs="Arial"/>
          <w:sz w:val="28"/>
          <w:szCs w:val="28"/>
        </w:rPr>
        <w:t xml:space="preserve"> </w:t>
      </w:r>
      <w:r w:rsidR="008F65CA">
        <w:rPr>
          <w:rFonts w:cs="Arial"/>
          <w:sz w:val="28"/>
          <w:szCs w:val="28"/>
        </w:rPr>
        <w:t xml:space="preserve">bills </w:t>
      </w:r>
      <w:r w:rsidR="00FE3118">
        <w:rPr>
          <w:rFonts w:cs="Arial"/>
          <w:sz w:val="28"/>
          <w:szCs w:val="28"/>
        </w:rPr>
        <w:t xml:space="preserve">contain the exact same language as does the Joint Committee explanation. </w:t>
      </w:r>
    </w:p>
    <w:p w14:paraId="10954BC7" w14:textId="4A88D374" w:rsidR="00BD1BFB" w:rsidRDefault="00BD1BFB" w:rsidP="00BA00C2">
      <w:pPr>
        <w:pStyle w:val="FootnoteText"/>
        <w:rPr>
          <w:rFonts w:cs="Arial"/>
          <w:sz w:val="28"/>
          <w:szCs w:val="28"/>
        </w:rPr>
      </w:pPr>
    </w:p>
    <w:p w14:paraId="7E24F1E3" w14:textId="619F742F" w:rsidR="00BD1BFB" w:rsidRDefault="00982567" w:rsidP="00BA00C2">
      <w:pPr>
        <w:pStyle w:val="FootnoteText"/>
        <w:rPr>
          <w:rFonts w:cs="Arial"/>
          <w:sz w:val="28"/>
          <w:szCs w:val="28"/>
        </w:rPr>
      </w:pPr>
      <w:r>
        <w:rPr>
          <w:rFonts w:cs="Arial"/>
          <w:sz w:val="28"/>
          <w:szCs w:val="28"/>
        </w:rPr>
        <w:t>Was it responsible</w:t>
      </w:r>
      <w:r w:rsidR="008F65CA">
        <w:rPr>
          <w:rFonts w:cs="Arial"/>
          <w:sz w:val="28"/>
          <w:szCs w:val="28"/>
        </w:rPr>
        <w:t>, or even legal,</w:t>
      </w:r>
      <w:r>
        <w:rPr>
          <w:rFonts w:cs="Arial"/>
          <w:sz w:val="28"/>
          <w:szCs w:val="28"/>
        </w:rPr>
        <w:t xml:space="preserve"> for the Chief Counsel and Treasury to say, in effect, that section 6662(d)’s definition of tax shelter was to be applied separately from the same definition used in the tax registration provisions of then section 6111(d) and reg.</w:t>
      </w:r>
      <w:r w:rsidR="00485E1C">
        <w:rPr>
          <w:rFonts w:cs="Arial"/>
          <w:sz w:val="28"/>
          <w:szCs w:val="28"/>
        </w:rPr>
        <w:t xml:space="preserve"> </w:t>
      </w:r>
      <w:r>
        <w:rPr>
          <w:rFonts w:cs="Arial"/>
          <w:sz w:val="28"/>
          <w:szCs w:val="28"/>
        </w:rPr>
        <w:t xml:space="preserve">§301.6111-2? </w:t>
      </w:r>
      <w:r w:rsidR="00605AEA">
        <w:rPr>
          <w:rFonts w:cs="Arial"/>
          <w:sz w:val="28"/>
          <w:szCs w:val="28"/>
        </w:rPr>
        <w:t>I think the answer is no</w:t>
      </w:r>
      <w:r w:rsidR="00EF4E38">
        <w:rPr>
          <w:rFonts w:cs="Arial"/>
          <w:sz w:val="28"/>
          <w:szCs w:val="28"/>
        </w:rPr>
        <w:t xml:space="preserve"> for a couple of reasons</w:t>
      </w:r>
      <w:r w:rsidR="00605AEA">
        <w:rPr>
          <w:rFonts w:cs="Arial"/>
          <w:sz w:val="28"/>
          <w:szCs w:val="28"/>
        </w:rPr>
        <w:t>. First, t</w:t>
      </w:r>
      <w:r w:rsidR="00485E1C">
        <w:rPr>
          <w:rFonts w:cs="Arial"/>
          <w:sz w:val="28"/>
          <w:szCs w:val="28"/>
        </w:rPr>
        <w:t xml:space="preserve">he clear congressional intent was that both statutes should be in conformity with each other. </w:t>
      </w:r>
      <w:r w:rsidR="00605AEA">
        <w:rPr>
          <w:rFonts w:cs="Arial"/>
          <w:sz w:val="28"/>
          <w:szCs w:val="28"/>
        </w:rPr>
        <w:t>As the article pointed out, the same language should be given the same meaning</w:t>
      </w:r>
      <w:r w:rsidR="00EF4E38">
        <w:rPr>
          <w:rFonts w:cs="Arial"/>
          <w:sz w:val="28"/>
          <w:szCs w:val="28"/>
        </w:rPr>
        <w:t xml:space="preserve"> in two statutes enacted </w:t>
      </w:r>
      <w:proofErr w:type="gramStart"/>
      <w:r w:rsidR="00EF4E38">
        <w:rPr>
          <w:rFonts w:cs="Arial"/>
          <w:sz w:val="28"/>
          <w:szCs w:val="28"/>
        </w:rPr>
        <w:t>at the same time that</w:t>
      </w:r>
      <w:proofErr w:type="gramEnd"/>
      <w:r w:rsidR="00EF4E38">
        <w:rPr>
          <w:rFonts w:cs="Arial"/>
          <w:sz w:val="28"/>
          <w:szCs w:val="28"/>
        </w:rPr>
        <w:t xml:space="preserve"> reference each other</w:t>
      </w:r>
      <w:r w:rsidR="00605AEA">
        <w:rPr>
          <w:rFonts w:cs="Arial"/>
          <w:sz w:val="28"/>
          <w:szCs w:val="28"/>
        </w:rPr>
        <w:t>. Second, the pertinent section 6111(d) regulation was first issued in temporary form in 2000 and then in final form in 2003.</w:t>
      </w:r>
      <w:r w:rsidR="00B91D41">
        <w:rPr>
          <w:rStyle w:val="FootnoteReference"/>
          <w:rFonts w:cs="Arial"/>
          <w:sz w:val="28"/>
          <w:szCs w:val="28"/>
        </w:rPr>
        <w:footnoteReference w:id="8"/>
      </w:r>
      <w:r w:rsidR="00B77871">
        <w:rPr>
          <w:rFonts w:cs="Arial"/>
          <w:sz w:val="28"/>
          <w:szCs w:val="28"/>
        </w:rPr>
        <w:t xml:space="preserve"> The latter treasury decision’s preamble </w:t>
      </w:r>
      <w:r w:rsidR="00F82E53">
        <w:rPr>
          <w:rFonts w:cs="Arial"/>
          <w:sz w:val="28"/>
          <w:szCs w:val="28"/>
        </w:rPr>
        <w:t xml:space="preserve">in 2003 </w:t>
      </w:r>
      <w:r w:rsidR="00B77871">
        <w:rPr>
          <w:rFonts w:cs="Arial"/>
          <w:sz w:val="28"/>
          <w:szCs w:val="28"/>
        </w:rPr>
        <w:t xml:space="preserve">does not repeat the supposed caveat or warning in 2000 about how the reader could not apply section 6662(d) to the language now in final regulations under section 6111(d). </w:t>
      </w:r>
    </w:p>
    <w:p w14:paraId="170A7A5E" w14:textId="0805254B" w:rsidR="0099618E" w:rsidRDefault="0099618E" w:rsidP="00BA00C2">
      <w:pPr>
        <w:pStyle w:val="FootnoteText"/>
        <w:rPr>
          <w:rFonts w:cs="Arial"/>
          <w:sz w:val="28"/>
          <w:szCs w:val="28"/>
        </w:rPr>
      </w:pPr>
    </w:p>
    <w:p w14:paraId="48746A1D" w14:textId="6D7DB486" w:rsidR="0099618E" w:rsidRDefault="0099618E" w:rsidP="00BA00C2">
      <w:pPr>
        <w:pStyle w:val="FootnoteText"/>
        <w:rPr>
          <w:rFonts w:cs="Arial"/>
          <w:sz w:val="28"/>
          <w:szCs w:val="28"/>
        </w:rPr>
      </w:pPr>
      <w:r>
        <w:rPr>
          <w:rFonts w:cs="Arial"/>
          <w:sz w:val="28"/>
          <w:szCs w:val="28"/>
        </w:rPr>
        <w:t xml:space="preserve">This type of behavior is particularly bad given the difficulty in finding the pertinent </w:t>
      </w:r>
      <w:r w:rsidR="0091409F">
        <w:rPr>
          <w:rFonts w:cs="Arial"/>
          <w:sz w:val="28"/>
          <w:szCs w:val="28"/>
        </w:rPr>
        <w:t xml:space="preserve">regulation preamble language. And since when does congressional legislative history take a back seat to </w:t>
      </w:r>
      <w:r w:rsidR="00620548">
        <w:rPr>
          <w:rFonts w:cs="Arial"/>
          <w:sz w:val="28"/>
          <w:szCs w:val="28"/>
        </w:rPr>
        <w:t>regulation preambles?</w:t>
      </w:r>
    </w:p>
    <w:p w14:paraId="0A835897" w14:textId="6BEA5F83" w:rsidR="00620548" w:rsidRDefault="00620548" w:rsidP="00BA00C2">
      <w:pPr>
        <w:pStyle w:val="FootnoteText"/>
        <w:rPr>
          <w:rFonts w:cs="Arial"/>
          <w:sz w:val="28"/>
          <w:szCs w:val="28"/>
        </w:rPr>
      </w:pPr>
    </w:p>
    <w:p w14:paraId="195F0972" w14:textId="7779F75E" w:rsidR="00620548" w:rsidRDefault="00620548" w:rsidP="00BA00C2">
      <w:pPr>
        <w:pStyle w:val="FootnoteText"/>
        <w:rPr>
          <w:rFonts w:cs="Arial"/>
          <w:sz w:val="28"/>
          <w:szCs w:val="28"/>
        </w:rPr>
      </w:pPr>
      <w:r>
        <w:rPr>
          <w:rFonts w:cs="Arial"/>
          <w:sz w:val="28"/>
          <w:szCs w:val="28"/>
        </w:rPr>
        <w:lastRenderedPageBreak/>
        <w:t xml:space="preserve">In defense of the government, though, </w:t>
      </w:r>
      <w:r w:rsidR="003C1D34">
        <w:rPr>
          <w:rFonts w:cs="Arial"/>
          <w:sz w:val="28"/>
          <w:szCs w:val="28"/>
        </w:rPr>
        <w:t>regulation §301.6111-2(b)</w:t>
      </w:r>
      <w:r w:rsidR="00063E76">
        <w:rPr>
          <w:rFonts w:cs="Arial"/>
          <w:sz w:val="28"/>
          <w:szCs w:val="28"/>
        </w:rPr>
        <w:t xml:space="preserve"> defines what is “a significant purpose” </w:t>
      </w:r>
      <w:r w:rsidR="000062D8">
        <w:rPr>
          <w:rFonts w:cs="Arial"/>
          <w:sz w:val="28"/>
          <w:szCs w:val="28"/>
        </w:rPr>
        <w:t xml:space="preserve">of tax avoidance or evasion by referencing either listed transactions </w:t>
      </w:r>
      <w:r w:rsidR="00DA0751">
        <w:rPr>
          <w:rFonts w:cs="Arial"/>
          <w:sz w:val="28"/>
          <w:szCs w:val="28"/>
        </w:rPr>
        <w:t>of so-called abusive transactions and</w:t>
      </w:r>
      <w:r w:rsidR="00D33D2F">
        <w:rPr>
          <w:rFonts w:cs="Arial"/>
          <w:sz w:val="28"/>
          <w:szCs w:val="28"/>
        </w:rPr>
        <w:t>, also,</w:t>
      </w:r>
      <w:r w:rsidR="00DA0751">
        <w:rPr>
          <w:rFonts w:cs="Arial"/>
          <w:sz w:val="28"/>
          <w:szCs w:val="28"/>
        </w:rPr>
        <w:t xml:space="preserve"> what are called “other tax-structured transactions” </w:t>
      </w:r>
      <w:r w:rsidR="00DA7BE9">
        <w:rPr>
          <w:rFonts w:cs="Arial"/>
          <w:sz w:val="28"/>
          <w:szCs w:val="28"/>
        </w:rPr>
        <w:t xml:space="preserve">whereby the promoter has determined </w:t>
      </w:r>
      <w:r w:rsidR="008103C0">
        <w:rPr>
          <w:rFonts w:cs="Arial"/>
          <w:sz w:val="28"/>
          <w:szCs w:val="28"/>
        </w:rPr>
        <w:t>that the federal income tax benefits are or are not</w:t>
      </w:r>
      <w:r w:rsidR="00550DA7">
        <w:rPr>
          <w:rFonts w:cs="Arial"/>
          <w:sz w:val="28"/>
          <w:szCs w:val="28"/>
        </w:rPr>
        <w:t xml:space="preserve"> an “important part of the intended </w:t>
      </w:r>
      <w:r w:rsidR="008103C0">
        <w:rPr>
          <w:rFonts w:cs="Arial"/>
          <w:sz w:val="28"/>
          <w:szCs w:val="28"/>
        </w:rPr>
        <w:t>results of the transaction”. It sounds somewhat logical for listed transactions to be tax shelters for purposes of tax shelter registration at that time but it also sounds somewhat illogical that a significant purpose of tax evasion under section 6662(d)</w:t>
      </w:r>
      <w:r w:rsidR="00E374B5">
        <w:rPr>
          <w:rFonts w:cs="Arial"/>
          <w:sz w:val="28"/>
          <w:szCs w:val="28"/>
        </w:rPr>
        <w:t xml:space="preserve"> should be dependent upon a mere assertion </w:t>
      </w:r>
      <w:r w:rsidR="003E77F6">
        <w:rPr>
          <w:rFonts w:cs="Arial"/>
          <w:sz w:val="28"/>
          <w:szCs w:val="28"/>
        </w:rPr>
        <w:t>by the IRS that the transaction is abusive</w:t>
      </w:r>
      <w:r w:rsidR="00411294">
        <w:rPr>
          <w:rFonts w:cs="Arial"/>
          <w:sz w:val="28"/>
          <w:szCs w:val="28"/>
        </w:rPr>
        <w:t>, as in a listing notice</w:t>
      </w:r>
      <w:r w:rsidR="003E77F6">
        <w:rPr>
          <w:rFonts w:cs="Arial"/>
          <w:sz w:val="28"/>
          <w:szCs w:val="28"/>
        </w:rPr>
        <w:t xml:space="preserve">. </w:t>
      </w:r>
      <w:r w:rsidR="00F042C7">
        <w:rPr>
          <w:rFonts w:cs="Arial"/>
          <w:sz w:val="28"/>
          <w:szCs w:val="28"/>
        </w:rPr>
        <w:t>It also sounds somewhat odd that there would have to be a promoter of a transaction for the section 6662 penalty</w:t>
      </w:r>
      <w:r w:rsidR="00411294">
        <w:rPr>
          <w:rFonts w:cs="Arial"/>
          <w:sz w:val="28"/>
          <w:szCs w:val="28"/>
        </w:rPr>
        <w:t xml:space="preserve">, whereas that made perfect sense </w:t>
      </w:r>
      <w:r w:rsidR="00F042C7">
        <w:rPr>
          <w:rFonts w:cs="Arial"/>
          <w:sz w:val="28"/>
          <w:szCs w:val="28"/>
        </w:rPr>
        <w:t xml:space="preserve">for tax shelter registration. </w:t>
      </w:r>
    </w:p>
    <w:p w14:paraId="1D13CAD6" w14:textId="1B59269F" w:rsidR="00411294" w:rsidRDefault="00411294" w:rsidP="00BA00C2">
      <w:pPr>
        <w:pStyle w:val="FootnoteText"/>
        <w:rPr>
          <w:rFonts w:cs="Arial"/>
          <w:sz w:val="28"/>
          <w:szCs w:val="28"/>
        </w:rPr>
      </w:pPr>
    </w:p>
    <w:p w14:paraId="462B620D" w14:textId="2CD6B2E9" w:rsidR="00411294" w:rsidRPr="00F05680" w:rsidRDefault="00411294" w:rsidP="00BA00C2">
      <w:pPr>
        <w:pStyle w:val="FootnoteText"/>
        <w:rPr>
          <w:rFonts w:cs="Arial"/>
          <w:sz w:val="28"/>
          <w:szCs w:val="28"/>
        </w:rPr>
      </w:pPr>
      <w:r>
        <w:rPr>
          <w:rFonts w:cs="Arial"/>
          <w:sz w:val="28"/>
          <w:szCs w:val="28"/>
        </w:rPr>
        <w:t xml:space="preserve">What now? </w:t>
      </w:r>
    </w:p>
    <w:p w14:paraId="083B2F88" w14:textId="46F12315" w:rsidR="00262533" w:rsidRPr="00F05680" w:rsidRDefault="00262533" w:rsidP="00262533">
      <w:pPr>
        <w:pStyle w:val="FootnoteText"/>
        <w:rPr>
          <w:rFonts w:cs="Arial"/>
        </w:rPr>
      </w:pPr>
    </w:p>
    <w:p w14:paraId="46A80833" w14:textId="35ED7BBC" w:rsidR="00B07830" w:rsidRPr="00F05680" w:rsidRDefault="00B07830" w:rsidP="00262533">
      <w:pPr>
        <w:pStyle w:val="FootnoteText"/>
        <w:rPr>
          <w:rFonts w:cs="Arial"/>
        </w:rPr>
      </w:pPr>
    </w:p>
    <w:p w14:paraId="7CEE8C1E" w14:textId="6682587A" w:rsidR="00B07830" w:rsidRDefault="00B07830" w:rsidP="00262533">
      <w:pPr>
        <w:pStyle w:val="FootnoteText"/>
      </w:pPr>
    </w:p>
    <w:p w14:paraId="31892AA5" w14:textId="7635CC1D" w:rsidR="00B07830" w:rsidRDefault="00B07830" w:rsidP="00262533">
      <w:pPr>
        <w:pStyle w:val="FootnoteText"/>
      </w:pPr>
    </w:p>
    <w:p w14:paraId="08E45C04" w14:textId="77777777" w:rsidR="00B07830" w:rsidRDefault="00B07830" w:rsidP="00262533">
      <w:pPr>
        <w:pStyle w:val="FootnoteText"/>
      </w:pPr>
    </w:p>
    <w:p w14:paraId="19754DD8" w14:textId="77777777" w:rsidR="00262533" w:rsidRPr="00262533" w:rsidRDefault="00262533" w:rsidP="00262533">
      <w:pPr>
        <w:pStyle w:val="FootnoteText"/>
      </w:pPr>
    </w:p>
    <w:sectPr w:rsidR="00262533" w:rsidRPr="002625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A1FB" w14:textId="77777777" w:rsidR="00D95A02" w:rsidRDefault="00D95A02" w:rsidP="00262533">
      <w:pPr>
        <w:spacing w:line="240" w:lineRule="auto"/>
      </w:pPr>
      <w:r>
        <w:separator/>
      </w:r>
    </w:p>
  </w:endnote>
  <w:endnote w:type="continuationSeparator" w:id="0">
    <w:p w14:paraId="505A1122" w14:textId="77777777" w:rsidR="00D95A02" w:rsidRDefault="00D95A02" w:rsidP="00262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226092"/>
      <w:docPartObj>
        <w:docPartGallery w:val="Page Numbers (Bottom of Page)"/>
        <w:docPartUnique/>
      </w:docPartObj>
    </w:sdtPr>
    <w:sdtEndPr>
      <w:rPr>
        <w:noProof/>
      </w:rPr>
    </w:sdtEndPr>
    <w:sdtContent>
      <w:p w14:paraId="7E5D6555" w14:textId="4C570233" w:rsidR="00262533" w:rsidRDefault="002625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DFAD1" w14:textId="77777777" w:rsidR="00262533" w:rsidRDefault="0026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CC049" w14:textId="77777777" w:rsidR="00D95A02" w:rsidRDefault="00D95A02" w:rsidP="00262533">
      <w:pPr>
        <w:spacing w:line="240" w:lineRule="auto"/>
      </w:pPr>
      <w:r>
        <w:separator/>
      </w:r>
    </w:p>
  </w:footnote>
  <w:footnote w:type="continuationSeparator" w:id="0">
    <w:p w14:paraId="0A09DA11" w14:textId="77777777" w:rsidR="00D95A02" w:rsidRDefault="00D95A02" w:rsidP="00262533">
      <w:pPr>
        <w:spacing w:line="240" w:lineRule="auto"/>
      </w:pPr>
      <w:r>
        <w:continuationSeparator/>
      </w:r>
    </w:p>
  </w:footnote>
  <w:footnote w:id="1">
    <w:p w14:paraId="3992C7CA" w14:textId="3FD9E9A1" w:rsidR="0067312B" w:rsidRDefault="0067312B">
      <w:pPr>
        <w:pStyle w:val="FootnoteText"/>
        <w:rPr>
          <w:sz w:val="28"/>
          <w:szCs w:val="28"/>
        </w:rPr>
      </w:pPr>
      <w:r w:rsidRPr="00855BDB">
        <w:rPr>
          <w:rStyle w:val="FootnoteReference"/>
          <w:sz w:val="28"/>
          <w:szCs w:val="28"/>
        </w:rPr>
        <w:footnoteRef/>
      </w:r>
      <w:r w:rsidRPr="00855BDB">
        <w:rPr>
          <w:sz w:val="28"/>
          <w:szCs w:val="28"/>
        </w:rPr>
        <w:t xml:space="preserve"> </w:t>
      </w:r>
      <w:r w:rsidR="00E30878">
        <w:rPr>
          <w:sz w:val="28"/>
          <w:szCs w:val="28"/>
        </w:rPr>
        <w:t xml:space="preserve">Tyler M. Johnson, John </w:t>
      </w:r>
      <w:proofErr w:type="spellStart"/>
      <w:r w:rsidR="00E30878">
        <w:rPr>
          <w:sz w:val="28"/>
          <w:szCs w:val="28"/>
        </w:rPr>
        <w:t>Hildy</w:t>
      </w:r>
      <w:proofErr w:type="spellEnd"/>
      <w:r w:rsidR="00E30878">
        <w:rPr>
          <w:sz w:val="28"/>
          <w:szCs w:val="28"/>
        </w:rPr>
        <w:t xml:space="preserve"> and John W. Horne, “Cost Sharing Is a Tax Shelter Now. Wait, </w:t>
      </w:r>
      <w:proofErr w:type="gramStart"/>
      <w:r w:rsidR="00E30878">
        <w:rPr>
          <w:sz w:val="28"/>
          <w:szCs w:val="28"/>
        </w:rPr>
        <w:t>What?</w:t>
      </w:r>
      <w:r w:rsidR="003D0D13">
        <w:rPr>
          <w:sz w:val="28"/>
          <w:szCs w:val="28"/>
        </w:rPr>
        <w:t>,</w:t>
      </w:r>
      <w:proofErr w:type="gramEnd"/>
      <w:r w:rsidR="003D0D13">
        <w:rPr>
          <w:sz w:val="28"/>
          <w:szCs w:val="28"/>
        </w:rPr>
        <w:t xml:space="preserve"> 168 TNF 2193, Sept. 21, 2020. </w:t>
      </w:r>
    </w:p>
    <w:p w14:paraId="25E4AAF1" w14:textId="77777777" w:rsidR="001B6AE5" w:rsidRPr="00855BDB" w:rsidRDefault="001B6AE5">
      <w:pPr>
        <w:pStyle w:val="FootnoteText"/>
        <w:rPr>
          <w:sz w:val="28"/>
          <w:szCs w:val="28"/>
        </w:rPr>
      </w:pPr>
    </w:p>
  </w:footnote>
  <w:footnote w:id="2">
    <w:p w14:paraId="6E9E9890" w14:textId="074CA9CF" w:rsidR="005F45A4" w:rsidRDefault="000F1E83">
      <w:pPr>
        <w:pStyle w:val="FootnoteText"/>
        <w:rPr>
          <w:sz w:val="28"/>
          <w:szCs w:val="28"/>
        </w:rPr>
      </w:pPr>
      <w:r>
        <w:rPr>
          <w:rStyle w:val="FootnoteReference"/>
        </w:rPr>
        <w:footnoteRef/>
      </w:r>
      <w:r>
        <w:t xml:space="preserve"> </w:t>
      </w:r>
      <w:r w:rsidRPr="0025668A">
        <w:rPr>
          <w:sz w:val="28"/>
          <w:szCs w:val="28"/>
        </w:rPr>
        <w:t xml:space="preserve">See </w:t>
      </w:r>
      <w:r w:rsidR="005615A8" w:rsidRPr="0025668A">
        <w:rPr>
          <w:sz w:val="28"/>
          <w:szCs w:val="28"/>
        </w:rPr>
        <w:t>“General Explanation of Tax Legislation Enacted in 1997</w:t>
      </w:r>
      <w:r w:rsidR="00294405">
        <w:rPr>
          <w:sz w:val="28"/>
          <w:szCs w:val="28"/>
        </w:rPr>
        <w:t>”</w:t>
      </w:r>
      <w:r w:rsidR="005615A8" w:rsidRPr="0025668A">
        <w:rPr>
          <w:sz w:val="28"/>
          <w:szCs w:val="28"/>
        </w:rPr>
        <w:t>, JCS-23-97, Dec. 17, 1997, pp. 221-224</w:t>
      </w:r>
      <w:r w:rsidR="00F911A1" w:rsidRPr="0025668A">
        <w:rPr>
          <w:sz w:val="28"/>
          <w:szCs w:val="28"/>
        </w:rPr>
        <w:t xml:space="preserve">, where, after describing the law change under section 6111, the Joint Committee on Taxation stated, in regards to the change to the section 6662 tax shelter definition that </w:t>
      </w:r>
      <w:r w:rsidR="006A10A9" w:rsidRPr="0025668A">
        <w:rPr>
          <w:sz w:val="28"/>
          <w:szCs w:val="28"/>
        </w:rPr>
        <w:t xml:space="preserve">the “modification conforms the definition of tax shelter </w:t>
      </w:r>
      <w:r w:rsidR="00E774DD" w:rsidRPr="0025668A">
        <w:rPr>
          <w:sz w:val="28"/>
          <w:szCs w:val="28"/>
        </w:rPr>
        <w:t>for purposes of the substantial understatement penalty</w:t>
      </w:r>
      <w:r w:rsidR="006572A2">
        <w:rPr>
          <w:sz w:val="28"/>
          <w:szCs w:val="28"/>
        </w:rPr>
        <w:t xml:space="preserve"> [of section 6662(d)]</w:t>
      </w:r>
      <w:r w:rsidR="00E774DD" w:rsidRPr="0025668A">
        <w:rPr>
          <w:sz w:val="28"/>
          <w:szCs w:val="28"/>
        </w:rPr>
        <w:t xml:space="preserve"> to the definition of tax shelter </w:t>
      </w:r>
      <w:r w:rsidR="0076008C" w:rsidRPr="0025668A">
        <w:rPr>
          <w:sz w:val="28"/>
          <w:szCs w:val="28"/>
        </w:rPr>
        <w:t xml:space="preserve">for purposes of these new confidential corporate tax shelter </w:t>
      </w:r>
      <w:r w:rsidR="0025668A" w:rsidRPr="0025668A">
        <w:rPr>
          <w:sz w:val="28"/>
          <w:szCs w:val="28"/>
        </w:rPr>
        <w:t>registration requirements</w:t>
      </w:r>
      <w:r w:rsidR="006572A2">
        <w:rPr>
          <w:sz w:val="28"/>
          <w:szCs w:val="28"/>
        </w:rPr>
        <w:t xml:space="preserve"> [section 6111(d) in effect at that time</w:t>
      </w:r>
      <w:r w:rsidR="0025668A" w:rsidRPr="0025668A">
        <w:rPr>
          <w:sz w:val="28"/>
          <w:szCs w:val="28"/>
        </w:rPr>
        <w:t>.”</w:t>
      </w:r>
    </w:p>
    <w:p w14:paraId="0DADB4D7" w14:textId="61D9765C" w:rsidR="000F1E83" w:rsidRPr="0025668A" w:rsidRDefault="0025668A">
      <w:pPr>
        <w:pStyle w:val="FootnoteText"/>
        <w:rPr>
          <w:sz w:val="28"/>
          <w:szCs w:val="28"/>
        </w:rPr>
      </w:pPr>
      <w:r w:rsidRPr="0025668A">
        <w:rPr>
          <w:sz w:val="28"/>
          <w:szCs w:val="28"/>
        </w:rPr>
        <w:t xml:space="preserve"> </w:t>
      </w:r>
    </w:p>
  </w:footnote>
  <w:footnote w:id="3">
    <w:p w14:paraId="299761BA" w14:textId="553F777A" w:rsidR="00312C3F" w:rsidRPr="0025668A" w:rsidRDefault="00312C3F">
      <w:pPr>
        <w:pStyle w:val="FootnoteText"/>
        <w:rPr>
          <w:sz w:val="28"/>
          <w:szCs w:val="28"/>
        </w:rPr>
      </w:pPr>
      <w:r w:rsidRPr="0025668A">
        <w:rPr>
          <w:rStyle w:val="FootnoteReference"/>
          <w:sz w:val="28"/>
          <w:szCs w:val="28"/>
        </w:rPr>
        <w:footnoteRef/>
      </w:r>
      <w:r w:rsidRPr="0025668A">
        <w:rPr>
          <w:sz w:val="28"/>
          <w:szCs w:val="28"/>
        </w:rPr>
        <w:t xml:space="preserve"> </w:t>
      </w:r>
      <w:r w:rsidR="00D2198B">
        <w:rPr>
          <w:sz w:val="28"/>
          <w:szCs w:val="28"/>
        </w:rPr>
        <w:t xml:space="preserve">Id. </w:t>
      </w:r>
    </w:p>
  </w:footnote>
  <w:footnote w:id="4">
    <w:p w14:paraId="601BD39C" w14:textId="6B289D4C" w:rsidR="005A4127" w:rsidRDefault="005A4127">
      <w:pPr>
        <w:pStyle w:val="FootnoteText"/>
        <w:rPr>
          <w:sz w:val="28"/>
          <w:szCs w:val="28"/>
        </w:rPr>
      </w:pPr>
      <w:r w:rsidRPr="0025668A">
        <w:rPr>
          <w:rStyle w:val="FootnoteReference"/>
          <w:sz w:val="28"/>
          <w:szCs w:val="28"/>
        </w:rPr>
        <w:footnoteRef/>
      </w:r>
      <w:r w:rsidRPr="0025668A">
        <w:rPr>
          <w:sz w:val="28"/>
          <w:szCs w:val="28"/>
        </w:rPr>
        <w:t xml:space="preserve"> </w:t>
      </w:r>
      <w:r w:rsidR="00715C52">
        <w:rPr>
          <w:sz w:val="28"/>
          <w:szCs w:val="28"/>
        </w:rPr>
        <w:t xml:space="preserve">Reg. </w:t>
      </w:r>
      <w:r w:rsidR="00715C52">
        <w:rPr>
          <w:rFonts w:cs="Arial"/>
          <w:sz w:val="28"/>
          <w:szCs w:val="28"/>
        </w:rPr>
        <w:t>§</w:t>
      </w:r>
      <w:r w:rsidR="00694881">
        <w:rPr>
          <w:sz w:val="28"/>
          <w:szCs w:val="28"/>
        </w:rPr>
        <w:t xml:space="preserve">301.6111-2, </w:t>
      </w:r>
      <w:r w:rsidR="00941163">
        <w:rPr>
          <w:sz w:val="28"/>
          <w:szCs w:val="28"/>
        </w:rPr>
        <w:t xml:space="preserve">T.D. 8876, </w:t>
      </w:r>
      <w:r w:rsidR="00276022">
        <w:rPr>
          <w:sz w:val="28"/>
          <w:szCs w:val="28"/>
        </w:rPr>
        <w:t xml:space="preserve">Mar. 2, 2000. </w:t>
      </w:r>
    </w:p>
    <w:p w14:paraId="10275B35" w14:textId="77777777" w:rsidR="00D5605F" w:rsidRPr="0025668A" w:rsidRDefault="00D5605F">
      <w:pPr>
        <w:pStyle w:val="FootnoteText"/>
        <w:rPr>
          <w:sz w:val="28"/>
          <w:szCs w:val="28"/>
        </w:rPr>
      </w:pPr>
    </w:p>
  </w:footnote>
  <w:footnote w:id="5">
    <w:p w14:paraId="5622EACA" w14:textId="77777777" w:rsidR="00FD0C1D" w:rsidRPr="00FD0C1D" w:rsidRDefault="005A4127" w:rsidP="00FD0C1D">
      <w:pPr>
        <w:pStyle w:val="FootnoteText"/>
        <w:rPr>
          <w:rFonts w:cs="Arial"/>
          <w:sz w:val="28"/>
          <w:szCs w:val="28"/>
        </w:rPr>
      </w:pPr>
      <w:r w:rsidRPr="00855BDB">
        <w:rPr>
          <w:rStyle w:val="FootnoteReference"/>
          <w:sz w:val="28"/>
          <w:szCs w:val="28"/>
        </w:rPr>
        <w:footnoteRef/>
      </w:r>
      <w:r w:rsidRPr="00855BDB">
        <w:rPr>
          <w:sz w:val="28"/>
          <w:szCs w:val="28"/>
        </w:rPr>
        <w:t xml:space="preserve"> </w:t>
      </w:r>
      <w:r w:rsidR="00FD0C1D">
        <w:t>“</w:t>
      </w:r>
      <w:r w:rsidR="00FD0C1D" w:rsidRPr="00FD0C1D">
        <w:rPr>
          <w:rFonts w:cs="Arial"/>
          <w:color w:val="222222"/>
          <w:sz w:val="28"/>
          <w:szCs w:val="28"/>
        </w:rPr>
        <w:t>These temporary regulations relate to disclosure obligations for tax shelter organizers and promoters under section 6111. Although the terms of section 6111(d)(1)(A), which are part of the definition of a confidential corporate tax shelter, are similar to the definition of tax shelter under section 6662(d)(2)(C)(iii), these temporary regulations are not intended to define a tax shelter for purposes of section 6662, which relates to the imposition of penalties.”</w:t>
      </w:r>
    </w:p>
    <w:p w14:paraId="65420822" w14:textId="14962306" w:rsidR="005A4127" w:rsidRPr="00FD0C1D" w:rsidRDefault="005A4127">
      <w:pPr>
        <w:pStyle w:val="FootnoteText"/>
        <w:rPr>
          <w:rFonts w:cs="Arial"/>
          <w:sz w:val="28"/>
          <w:szCs w:val="28"/>
        </w:rPr>
      </w:pPr>
    </w:p>
  </w:footnote>
  <w:footnote w:id="6">
    <w:p w14:paraId="6CE473F6" w14:textId="2C2973A8" w:rsidR="001E378C" w:rsidRDefault="001E378C">
      <w:pPr>
        <w:pStyle w:val="FootnoteText"/>
      </w:pPr>
    </w:p>
  </w:footnote>
  <w:footnote w:id="7">
    <w:p w14:paraId="70D58D6F" w14:textId="3D3906F7" w:rsidR="00DE446A" w:rsidRDefault="00DE446A">
      <w:pPr>
        <w:pStyle w:val="FootnoteText"/>
        <w:rPr>
          <w:sz w:val="28"/>
          <w:szCs w:val="28"/>
        </w:rPr>
      </w:pPr>
      <w:r w:rsidRPr="00FE3118">
        <w:rPr>
          <w:rStyle w:val="FootnoteReference"/>
          <w:sz w:val="28"/>
          <w:szCs w:val="28"/>
        </w:rPr>
        <w:footnoteRef/>
      </w:r>
      <w:r w:rsidRPr="00FE3118">
        <w:rPr>
          <w:sz w:val="28"/>
          <w:szCs w:val="28"/>
        </w:rPr>
        <w:t xml:space="preserve"> </w:t>
      </w:r>
      <w:r w:rsidR="000D1A60" w:rsidRPr="00FE3118">
        <w:rPr>
          <w:sz w:val="28"/>
          <w:szCs w:val="28"/>
        </w:rPr>
        <w:t>H.R. Rept. 105-48 and S. Rept. 105-33</w:t>
      </w:r>
      <w:r w:rsidR="00FE3118" w:rsidRPr="00FE3118">
        <w:rPr>
          <w:sz w:val="28"/>
          <w:szCs w:val="28"/>
        </w:rPr>
        <w:t>, 1</w:t>
      </w:r>
      <w:r w:rsidR="00FE3118" w:rsidRPr="00FE3118">
        <w:rPr>
          <w:sz w:val="28"/>
          <w:szCs w:val="28"/>
          <w:vertAlign w:val="superscript"/>
        </w:rPr>
        <w:t>st</w:t>
      </w:r>
      <w:r w:rsidR="00FE3118" w:rsidRPr="00FE3118">
        <w:rPr>
          <w:sz w:val="28"/>
          <w:szCs w:val="28"/>
        </w:rPr>
        <w:t xml:space="preserve"> Sess.</w:t>
      </w:r>
    </w:p>
    <w:p w14:paraId="4FCD0E0B" w14:textId="77777777" w:rsidR="00F82E53" w:rsidRPr="00FE3118" w:rsidRDefault="00F82E53">
      <w:pPr>
        <w:pStyle w:val="FootnoteText"/>
        <w:rPr>
          <w:sz w:val="28"/>
          <w:szCs w:val="28"/>
        </w:rPr>
      </w:pPr>
    </w:p>
  </w:footnote>
  <w:footnote w:id="8">
    <w:p w14:paraId="7E8A1DA9" w14:textId="3A621829" w:rsidR="00B91D41" w:rsidRPr="00B91D41" w:rsidRDefault="00B91D41">
      <w:pPr>
        <w:pStyle w:val="FootnoteText"/>
        <w:rPr>
          <w:sz w:val="28"/>
          <w:szCs w:val="28"/>
        </w:rPr>
      </w:pPr>
      <w:r>
        <w:rPr>
          <w:rStyle w:val="FootnoteReference"/>
        </w:rPr>
        <w:footnoteRef/>
      </w:r>
      <w:r w:rsidRPr="00B91D41">
        <w:rPr>
          <w:sz w:val="28"/>
          <w:szCs w:val="28"/>
        </w:rPr>
        <w:t xml:space="preserve"> T.D. 9046, Feb. 28, 2003.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D8"/>
    <w:rsid w:val="00000AD8"/>
    <w:rsid w:val="000062D8"/>
    <w:rsid w:val="00030213"/>
    <w:rsid w:val="00063E76"/>
    <w:rsid w:val="000C5659"/>
    <w:rsid w:val="000D1A60"/>
    <w:rsid w:val="000F1E83"/>
    <w:rsid w:val="00115D74"/>
    <w:rsid w:val="00140045"/>
    <w:rsid w:val="001A4226"/>
    <w:rsid w:val="001B6AE5"/>
    <w:rsid w:val="001C0F9E"/>
    <w:rsid w:val="001E378C"/>
    <w:rsid w:val="0025668A"/>
    <w:rsid w:val="00262533"/>
    <w:rsid w:val="00276022"/>
    <w:rsid w:val="002937BE"/>
    <w:rsid w:val="00294405"/>
    <w:rsid w:val="002B4B18"/>
    <w:rsid w:val="00311E39"/>
    <w:rsid w:val="00312C3F"/>
    <w:rsid w:val="003859E3"/>
    <w:rsid w:val="003C1D34"/>
    <w:rsid w:val="003D0D13"/>
    <w:rsid w:val="003D1D7A"/>
    <w:rsid w:val="003E77F6"/>
    <w:rsid w:val="00411294"/>
    <w:rsid w:val="00423A81"/>
    <w:rsid w:val="00485E1C"/>
    <w:rsid w:val="004A5364"/>
    <w:rsid w:val="004D3E87"/>
    <w:rsid w:val="004E40A2"/>
    <w:rsid w:val="004F1D03"/>
    <w:rsid w:val="00550DA7"/>
    <w:rsid w:val="005615A8"/>
    <w:rsid w:val="005A4127"/>
    <w:rsid w:val="005A65F1"/>
    <w:rsid w:val="005C2B2B"/>
    <w:rsid w:val="005F45A4"/>
    <w:rsid w:val="00605AEA"/>
    <w:rsid w:val="00612730"/>
    <w:rsid w:val="00620548"/>
    <w:rsid w:val="0065039D"/>
    <w:rsid w:val="006572A2"/>
    <w:rsid w:val="0067312B"/>
    <w:rsid w:val="00681357"/>
    <w:rsid w:val="00694881"/>
    <w:rsid w:val="006A10A9"/>
    <w:rsid w:val="00715C52"/>
    <w:rsid w:val="0076008C"/>
    <w:rsid w:val="0079344F"/>
    <w:rsid w:val="007D5BAE"/>
    <w:rsid w:val="008103C0"/>
    <w:rsid w:val="00855BDB"/>
    <w:rsid w:val="008F65CA"/>
    <w:rsid w:val="0091409F"/>
    <w:rsid w:val="00941163"/>
    <w:rsid w:val="00982567"/>
    <w:rsid w:val="0099618E"/>
    <w:rsid w:val="00997609"/>
    <w:rsid w:val="009B0AE5"/>
    <w:rsid w:val="009C079D"/>
    <w:rsid w:val="009D7236"/>
    <w:rsid w:val="009F26D8"/>
    <w:rsid w:val="00AC1FB1"/>
    <w:rsid w:val="00AD4364"/>
    <w:rsid w:val="00B0176A"/>
    <w:rsid w:val="00B0398F"/>
    <w:rsid w:val="00B07830"/>
    <w:rsid w:val="00B71519"/>
    <w:rsid w:val="00B77871"/>
    <w:rsid w:val="00B91D41"/>
    <w:rsid w:val="00BA00C2"/>
    <w:rsid w:val="00BB11B7"/>
    <w:rsid w:val="00BD1BFB"/>
    <w:rsid w:val="00BE0425"/>
    <w:rsid w:val="00C469EC"/>
    <w:rsid w:val="00CF34CE"/>
    <w:rsid w:val="00D2198B"/>
    <w:rsid w:val="00D33D2F"/>
    <w:rsid w:val="00D5605F"/>
    <w:rsid w:val="00D95A02"/>
    <w:rsid w:val="00DA0678"/>
    <w:rsid w:val="00DA0751"/>
    <w:rsid w:val="00DA7BE9"/>
    <w:rsid w:val="00DE446A"/>
    <w:rsid w:val="00E14029"/>
    <w:rsid w:val="00E24334"/>
    <w:rsid w:val="00E30878"/>
    <w:rsid w:val="00E374B5"/>
    <w:rsid w:val="00E676F8"/>
    <w:rsid w:val="00E774DD"/>
    <w:rsid w:val="00EA2895"/>
    <w:rsid w:val="00EE6BCF"/>
    <w:rsid w:val="00EF4E38"/>
    <w:rsid w:val="00F0057E"/>
    <w:rsid w:val="00F042C7"/>
    <w:rsid w:val="00F05680"/>
    <w:rsid w:val="00F13427"/>
    <w:rsid w:val="00F81072"/>
    <w:rsid w:val="00F82E53"/>
    <w:rsid w:val="00F911A1"/>
    <w:rsid w:val="00FC7B3E"/>
    <w:rsid w:val="00FD0C1D"/>
    <w:rsid w:val="00FD5A4B"/>
    <w:rsid w:val="00FE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B508"/>
  <w15:chartTrackingRefBased/>
  <w15:docId w15:val="{11C23251-D1F8-4201-89BE-E35AA2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8F14-AECA-4DEA-A2CE-9B377C29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2</cp:revision>
  <dcterms:created xsi:type="dcterms:W3CDTF">2020-09-21T14:53:00Z</dcterms:created>
  <dcterms:modified xsi:type="dcterms:W3CDTF">2020-09-21T14:53:00Z</dcterms:modified>
</cp:coreProperties>
</file>