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11EE" w14:textId="51F9190E" w:rsidR="0065039D" w:rsidRDefault="00B57486">
      <w:bookmarkStart w:id="0" w:name="_GoBack"/>
      <w:r>
        <w:t xml:space="preserve">BRIEF </w:t>
      </w:r>
      <w:r w:rsidR="00795185">
        <w:t>SUMMARY OF OZONE FINAL REGULATIONS HIGHLIGHTS</w:t>
      </w:r>
      <w:r w:rsidR="00C019BC">
        <w:t xml:space="preserve"> FOR PARTNERSHIPS AND PARTNERS</w:t>
      </w:r>
    </w:p>
    <w:bookmarkEnd w:id="0"/>
    <w:p w14:paraId="35E7A084" w14:textId="77777777" w:rsidR="00795185" w:rsidRPr="00795185" w:rsidRDefault="00795185" w:rsidP="00795185">
      <w:pPr>
        <w:pStyle w:val="FootnoteText"/>
      </w:pPr>
    </w:p>
    <w:p w14:paraId="79E1AA9D" w14:textId="615B4FE8" w:rsidR="00795185" w:rsidRDefault="00795185" w:rsidP="00795185">
      <w:pPr>
        <w:pStyle w:val="FootnoteText"/>
      </w:pPr>
    </w:p>
    <w:p w14:paraId="07154F53" w14:textId="19882F1E" w:rsidR="00795185" w:rsidRDefault="00795185" w:rsidP="00263BB3">
      <w:pPr>
        <w:pStyle w:val="FootnoteText"/>
        <w:numPr>
          <w:ilvl w:val="0"/>
          <w:numId w:val="1"/>
        </w:numPr>
      </w:pPr>
      <w:r>
        <w:t xml:space="preserve">A rule is added that if a “significant purpose” of the use of a partnership is to avoid the rules of </w:t>
      </w:r>
      <w:r w:rsidR="00B57486">
        <w:t xml:space="preserve">the </w:t>
      </w:r>
      <w:r>
        <w:t>Ozone</w:t>
      </w:r>
      <w:r w:rsidR="00B57486">
        <w:t xml:space="preserve"> statute and regulations</w:t>
      </w:r>
      <w:r>
        <w:t>, then it is disregarded. Compare</w:t>
      </w:r>
      <w:r w:rsidR="00B57486">
        <w:t xml:space="preserve"> this rule</w:t>
      </w:r>
      <w:r>
        <w:t xml:space="preserve"> to </w:t>
      </w:r>
      <w:r w:rsidR="00B57486">
        <w:rPr>
          <w:rFonts w:cs="Arial"/>
        </w:rPr>
        <w:t>§</w:t>
      </w:r>
      <w:r>
        <w:t xml:space="preserve">1.701-2 which uses the term “a principal purpose”. </w:t>
      </w:r>
    </w:p>
    <w:p w14:paraId="418854B8" w14:textId="77777777" w:rsidR="005D4819" w:rsidRDefault="005D4819" w:rsidP="00263BB3">
      <w:pPr>
        <w:pStyle w:val="FootnoteText"/>
        <w:ind w:left="720"/>
      </w:pPr>
    </w:p>
    <w:p w14:paraId="7BE4D3CA" w14:textId="4794A826" w:rsidR="005D4819" w:rsidRDefault="00AA4156" w:rsidP="00263BB3">
      <w:pPr>
        <w:pStyle w:val="FootnoteText"/>
        <w:numPr>
          <w:ilvl w:val="0"/>
          <w:numId w:val="1"/>
        </w:numPr>
      </w:pPr>
      <w:r>
        <w:t>The t</w:t>
      </w:r>
      <w:r w:rsidR="005D4819">
        <w:t>racing of disposed of partnership interests</w:t>
      </w:r>
      <w:r>
        <w:t xml:space="preserve"> is</w:t>
      </w:r>
      <w:r w:rsidR="005D4819">
        <w:t xml:space="preserve"> not allowed</w:t>
      </w:r>
      <w:r w:rsidR="00263BB3">
        <w:t xml:space="preserve"> except for mixed funds investments. </w:t>
      </w:r>
      <w:r w:rsidR="000100C4">
        <w:t>Does this create an inference generally for so-called “partnership tracking interests”?</w:t>
      </w:r>
    </w:p>
    <w:p w14:paraId="28CAE7FB" w14:textId="77777777" w:rsidR="00A704AD" w:rsidRDefault="00A704AD" w:rsidP="00A704AD">
      <w:pPr>
        <w:pStyle w:val="ListParagraph"/>
      </w:pPr>
    </w:p>
    <w:p w14:paraId="369FBAB8" w14:textId="7E91159E" w:rsidR="00A704AD" w:rsidRDefault="000100C4" w:rsidP="00263BB3">
      <w:pPr>
        <w:pStyle w:val="FootnoteText"/>
        <w:numPr>
          <w:ilvl w:val="0"/>
          <w:numId w:val="1"/>
        </w:numPr>
      </w:pPr>
      <w:r>
        <w:t xml:space="preserve">The </w:t>
      </w:r>
      <w:r w:rsidR="00065787">
        <w:t>Ozone system is not a nonrecognition provision</w:t>
      </w:r>
      <w:r>
        <w:t>; it is an income deferral system</w:t>
      </w:r>
      <w:r w:rsidR="00065787">
        <w:t xml:space="preserve">. </w:t>
      </w:r>
    </w:p>
    <w:p w14:paraId="48AF3EF8" w14:textId="77777777" w:rsidR="00AD5BD7" w:rsidRDefault="00AD5BD7" w:rsidP="00AD5BD7">
      <w:pPr>
        <w:pStyle w:val="ListParagraph"/>
      </w:pPr>
    </w:p>
    <w:p w14:paraId="50BB9E28" w14:textId="227C7303" w:rsidR="00AD5BD7" w:rsidRDefault="000100C4" w:rsidP="00FA1007">
      <w:pPr>
        <w:pStyle w:val="FootnoteText"/>
        <w:numPr>
          <w:ilvl w:val="0"/>
          <w:numId w:val="1"/>
        </w:numPr>
      </w:pPr>
      <w:r>
        <w:t>The o</w:t>
      </w:r>
      <w:r w:rsidR="00AD5BD7">
        <w:t xml:space="preserve">ffsetting positions rule only applies to </w:t>
      </w:r>
      <w:r>
        <w:t>section</w:t>
      </w:r>
      <w:r w:rsidR="00AD5BD7">
        <w:t xml:space="preserve">1092 straddles. </w:t>
      </w:r>
      <w:r w:rsidR="005F7EBA">
        <w:t xml:space="preserve">No illustration of </w:t>
      </w:r>
      <w:r w:rsidR="005F7EBA">
        <w:t xml:space="preserve">section </w:t>
      </w:r>
      <w:r w:rsidR="005F7EBA">
        <w:t xml:space="preserve">1092(d)(4)(C) (partnership positions are partner positions-but partner positions are not partnership positions). </w:t>
      </w:r>
      <w:r w:rsidR="005F7EBA">
        <w:t>This may create differences in what is “elig</w:t>
      </w:r>
      <w:r w:rsidR="00FA1007">
        <w:t>ible gain” if the election is made by the partnership or by a partner.</w:t>
      </w:r>
    </w:p>
    <w:p w14:paraId="528DE7EE" w14:textId="77777777" w:rsidR="004A251E" w:rsidRDefault="004A251E" w:rsidP="004A251E">
      <w:pPr>
        <w:pStyle w:val="ListParagraph"/>
      </w:pPr>
    </w:p>
    <w:p w14:paraId="064CFCE1" w14:textId="1041DCCF" w:rsidR="004A251E" w:rsidRDefault="00FA1007" w:rsidP="00263BB3">
      <w:pPr>
        <w:pStyle w:val="FootnoteText"/>
        <w:numPr>
          <w:ilvl w:val="0"/>
          <w:numId w:val="1"/>
        </w:numPr>
      </w:pPr>
      <w:r>
        <w:t xml:space="preserve">The new section </w:t>
      </w:r>
      <w:r w:rsidR="004A251E">
        <w:t xml:space="preserve">1231 rule only applies to gross amounts. </w:t>
      </w:r>
      <w:r>
        <w:t>Very taxpayer favorable.</w:t>
      </w:r>
    </w:p>
    <w:p w14:paraId="486CDF58" w14:textId="77777777" w:rsidR="004A251E" w:rsidRDefault="004A251E" w:rsidP="004A251E">
      <w:pPr>
        <w:pStyle w:val="ListParagraph"/>
      </w:pPr>
    </w:p>
    <w:p w14:paraId="73377CDA" w14:textId="7D900235" w:rsidR="00F905A2" w:rsidRDefault="00674C70" w:rsidP="00930CA9">
      <w:pPr>
        <w:pStyle w:val="FootnoteText"/>
        <w:numPr>
          <w:ilvl w:val="0"/>
          <w:numId w:val="1"/>
        </w:numPr>
      </w:pPr>
      <w:r>
        <w:t xml:space="preserve">Section 721 transactions of a qualifying investment is not an inclusion event. </w:t>
      </w:r>
      <w:r w:rsidR="00280886">
        <w:t xml:space="preserve">Assets over mergers are also excluded. </w:t>
      </w:r>
      <w:r w:rsidR="00D50C1F">
        <w:t xml:space="preserve">There is no express exception for partnership divisions. </w:t>
      </w:r>
      <w:r w:rsidR="00930CA9">
        <w:t>The rule on exempting transfers of fund interests to partnerships under 721(a) could</w:t>
      </w:r>
      <w:r w:rsidR="00930CA9">
        <w:t>, however,</w:t>
      </w:r>
      <w:r w:rsidR="00930CA9">
        <w:t xml:space="preserve"> run afoul of the assignment of income rule of RR 84-115</w:t>
      </w:r>
      <w:r w:rsidR="00930CA9">
        <w:t>, which requires a business purpose for a transfer of a partnership interest holding hot assets to another partnership in a section 721 transfer or otherwise there is gain recognition</w:t>
      </w:r>
      <w:r w:rsidR="00930CA9">
        <w:t xml:space="preserve">. </w:t>
      </w:r>
      <w:r w:rsidR="00930CA9">
        <w:t>That must mean that the section 721 transfers in the Ozone regulations need a business purpose if the partnerships hold hot assets.</w:t>
      </w:r>
    </w:p>
    <w:p w14:paraId="7E5A4D75" w14:textId="77777777" w:rsidR="00674C70" w:rsidRDefault="00674C70" w:rsidP="00674C70">
      <w:pPr>
        <w:pStyle w:val="ListParagraph"/>
      </w:pPr>
    </w:p>
    <w:p w14:paraId="4E3FBD9F" w14:textId="0E47A4B3" w:rsidR="00674C70" w:rsidRDefault="000B278D" w:rsidP="00263BB3">
      <w:pPr>
        <w:pStyle w:val="FootnoteText"/>
        <w:numPr>
          <w:ilvl w:val="0"/>
          <w:numId w:val="1"/>
        </w:numPr>
      </w:pPr>
      <w:r>
        <w:t xml:space="preserve">With the exception for gain </w:t>
      </w:r>
      <w:r w:rsidR="005248D7">
        <w:t xml:space="preserve">from the sale of inventory in the ordinary course of business, </w:t>
      </w:r>
      <w:r w:rsidR="00E236F2">
        <w:t xml:space="preserve">all gain from the sale of </w:t>
      </w:r>
      <w:r w:rsidR="004F4540">
        <w:t xml:space="preserve">property by a QOF partnership </w:t>
      </w:r>
      <w:r w:rsidR="009507C2">
        <w:t>or by a qualified opportunity zone business</w:t>
      </w:r>
      <w:r w:rsidR="008B778E">
        <w:t xml:space="preserve"> that is a partnership </w:t>
      </w:r>
      <w:r w:rsidR="00C14CBD">
        <w:t xml:space="preserve">is eligible for exclusion if held for at least 10 years. </w:t>
      </w:r>
      <w:r w:rsidR="00930CA9">
        <w:t xml:space="preserve">But there is a potential issue with the fund interest step-up where section 751(c) assets are held (see below). </w:t>
      </w:r>
    </w:p>
    <w:p w14:paraId="060112D8" w14:textId="77777777" w:rsidR="00D50C1F" w:rsidRDefault="00D50C1F" w:rsidP="00D50C1F">
      <w:pPr>
        <w:pStyle w:val="ListParagraph"/>
      </w:pPr>
    </w:p>
    <w:p w14:paraId="340AC502" w14:textId="5B2A38A9" w:rsidR="00C41F80" w:rsidRDefault="00C02A76" w:rsidP="006476DD">
      <w:pPr>
        <w:pStyle w:val="FootnoteText"/>
        <w:numPr>
          <w:ilvl w:val="0"/>
          <w:numId w:val="1"/>
        </w:numPr>
      </w:pPr>
      <w:r>
        <w:lastRenderedPageBreak/>
        <w:t>Maste</w:t>
      </w:r>
      <w:r w:rsidR="00C41F80">
        <w:t xml:space="preserve">r-feeder structures and aggregator fund structures </w:t>
      </w:r>
      <w:r w:rsidR="006476DD">
        <w:t xml:space="preserve">are </w:t>
      </w:r>
      <w:r w:rsidR="00C41F80">
        <w:t>not allowed</w:t>
      </w:r>
      <w:r w:rsidR="006476DD">
        <w:t xml:space="preserve"> to qualify as QOFs</w:t>
      </w:r>
      <w:r w:rsidR="00C41F80">
        <w:t>.</w:t>
      </w:r>
    </w:p>
    <w:p w14:paraId="265C0339" w14:textId="77777777" w:rsidR="00F3201B" w:rsidRDefault="00F3201B" w:rsidP="00F3201B">
      <w:pPr>
        <w:pStyle w:val="ListParagraph"/>
      </w:pPr>
    </w:p>
    <w:p w14:paraId="7EF0FC62" w14:textId="2E96D76B" w:rsidR="00EF7824" w:rsidRDefault="00F3201B" w:rsidP="00A64FFF">
      <w:pPr>
        <w:pStyle w:val="FootnoteText"/>
        <w:numPr>
          <w:ilvl w:val="0"/>
          <w:numId w:val="1"/>
        </w:numPr>
      </w:pPr>
      <w:r>
        <w:t xml:space="preserve"> </w:t>
      </w:r>
      <w:r w:rsidR="006476DD">
        <w:t xml:space="preserve">There is a potential </w:t>
      </w:r>
      <w:r>
        <w:t xml:space="preserve">Issue of what happens on </w:t>
      </w:r>
      <w:proofErr w:type="spellStart"/>
      <w:r>
        <w:t>a</w:t>
      </w:r>
      <w:proofErr w:type="spellEnd"/>
      <w:r w:rsidR="006476DD">
        <w:t xml:space="preserve"> fund</w:t>
      </w:r>
      <w:r>
        <w:t xml:space="preserve"> interest sale with </w:t>
      </w:r>
      <w:r w:rsidR="006476DD">
        <w:t xml:space="preserve">section </w:t>
      </w:r>
      <w:r>
        <w:t xml:space="preserve">751(c) items. </w:t>
      </w:r>
      <w:r w:rsidR="001F2E0D">
        <w:t xml:space="preserve">The issue arises because both reg. </w:t>
      </w:r>
      <w:r w:rsidR="001F2E0D">
        <w:rPr>
          <w:rFonts w:cs="Arial"/>
        </w:rPr>
        <w:t>§</w:t>
      </w:r>
      <w:r w:rsidR="001F2E0D">
        <w:t>1.751-1(a)(2) and the special Ozone regulation rule about a deemed section 743(b)-type inside asset adjustment both use the term “immediately prior” to the sale of the fund interest. The special Ozone rule must occur first in time to avoid section 751(a) applying if the fund partnership holds section 751(c) assets. There is no problem with holding inventory.</w:t>
      </w:r>
    </w:p>
    <w:p w14:paraId="5926CC92" w14:textId="77777777" w:rsidR="00504E6C" w:rsidRDefault="00504E6C" w:rsidP="00504E6C">
      <w:pPr>
        <w:pStyle w:val="ListParagraph"/>
      </w:pPr>
    </w:p>
    <w:p w14:paraId="65DC8D54" w14:textId="235BE710" w:rsidR="00504E6C" w:rsidRDefault="009B6259" w:rsidP="00263BB3">
      <w:pPr>
        <w:pStyle w:val="FootnoteText"/>
        <w:numPr>
          <w:ilvl w:val="0"/>
          <w:numId w:val="1"/>
        </w:numPr>
      </w:pPr>
      <w:r>
        <w:t xml:space="preserve"> </w:t>
      </w:r>
      <w:r w:rsidR="000B4142">
        <w:t xml:space="preserve">Inside basis adjustments </w:t>
      </w:r>
      <w:r w:rsidR="00A64FFF">
        <w:t xml:space="preserve">to partnership assets are </w:t>
      </w:r>
      <w:r w:rsidR="000B4142">
        <w:t>not limited to capital gain</w:t>
      </w:r>
      <w:r w:rsidR="00A64FFF">
        <w:t xml:space="preserve"> as the 2019 proposed regulations </w:t>
      </w:r>
      <w:proofErr w:type="gramStart"/>
      <w:r w:rsidR="00A64FFF">
        <w:t>stated,</w:t>
      </w:r>
      <w:r w:rsidR="000B4142">
        <w:t xml:space="preserve"> but</w:t>
      </w:r>
      <w:proofErr w:type="gramEnd"/>
      <w:r w:rsidR="000B4142">
        <w:t xml:space="preserve"> include all gains other than from inventory in the ordinary course of business</w:t>
      </w:r>
      <w:r w:rsidR="00A64FFF">
        <w:t xml:space="preserve"> by the QOF partnership.</w:t>
      </w:r>
    </w:p>
    <w:p w14:paraId="622383CF" w14:textId="77777777" w:rsidR="006D0176" w:rsidRDefault="006D0176" w:rsidP="006D0176">
      <w:pPr>
        <w:pStyle w:val="ListParagraph"/>
      </w:pPr>
    </w:p>
    <w:p w14:paraId="6159ADCB" w14:textId="253DCC72" w:rsidR="00B02F68" w:rsidRDefault="00B02F68" w:rsidP="00A64FFF">
      <w:pPr>
        <w:pStyle w:val="FootnoteText"/>
        <w:numPr>
          <w:ilvl w:val="0"/>
          <w:numId w:val="1"/>
        </w:numPr>
      </w:pPr>
      <w:r>
        <w:t>Does it matter if the assets up form is adopted for a partnership merger</w:t>
      </w:r>
      <w:r w:rsidR="00A64FFF">
        <w:t xml:space="preserve"> to obtain the favorable treatment for partnership mergers under the Ozone regulations</w:t>
      </w:r>
      <w:r>
        <w:t>?</w:t>
      </w:r>
      <w:r w:rsidR="00A64FFF">
        <w:t xml:space="preserve"> Partnership divisions are not exempted in any event. </w:t>
      </w:r>
    </w:p>
    <w:p w14:paraId="1AADA439" w14:textId="77777777" w:rsidR="00536F86" w:rsidRDefault="00536F86" w:rsidP="00536F86">
      <w:pPr>
        <w:pStyle w:val="ListParagraph"/>
      </w:pPr>
    </w:p>
    <w:p w14:paraId="2AA1C274" w14:textId="77777777" w:rsidR="00536F86" w:rsidRPr="00795185" w:rsidRDefault="00536F86" w:rsidP="00A64FFF">
      <w:pPr>
        <w:pStyle w:val="FootnoteText"/>
        <w:ind w:left="720"/>
      </w:pPr>
    </w:p>
    <w:sectPr w:rsidR="00536F86" w:rsidRPr="007951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7136" w14:textId="77777777" w:rsidR="00FE29BE" w:rsidRDefault="00FE29BE" w:rsidP="00D50C1F">
      <w:pPr>
        <w:spacing w:line="240" w:lineRule="auto"/>
      </w:pPr>
      <w:r>
        <w:separator/>
      </w:r>
    </w:p>
  </w:endnote>
  <w:endnote w:type="continuationSeparator" w:id="0">
    <w:p w14:paraId="00BB21BB" w14:textId="77777777" w:rsidR="00FE29BE" w:rsidRDefault="00FE29BE" w:rsidP="00D50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7179"/>
      <w:docPartObj>
        <w:docPartGallery w:val="Page Numbers (Bottom of Page)"/>
        <w:docPartUnique/>
      </w:docPartObj>
    </w:sdtPr>
    <w:sdtEndPr>
      <w:rPr>
        <w:noProof/>
      </w:rPr>
    </w:sdtEndPr>
    <w:sdtContent>
      <w:p w14:paraId="0F4AFD1E" w14:textId="1E451100" w:rsidR="00D50C1F" w:rsidRDefault="00D50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D0CB2" w14:textId="77777777" w:rsidR="00D50C1F" w:rsidRDefault="00D5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AD03" w14:textId="77777777" w:rsidR="00FE29BE" w:rsidRDefault="00FE29BE" w:rsidP="00D50C1F">
      <w:pPr>
        <w:spacing w:line="240" w:lineRule="auto"/>
      </w:pPr>
      <w:r>
        <w:separator/>
      </w:r>
    </w:p>
  </w:footnote>
  <w:footnote w:type="continuationSeparator" w:id="0">
    <w:p w14:paraId="14AE39B2" w14:textId="77777777" w:rsidR="00FE29BE" w:rsidRDefault="00FE29BE" w:rsidP="00D50C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46782"/>
    <w:multiLevelType w:val="hybridMultilevel"/>
    <w:tmpl w:val="AFEC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85"/>
    <w:rsid w:val="000100C4"/>
    <w:rsid w:val="00065787"/>
    <w:rsid w:val="000B278D"/>
    <w:rsid w:val="000B4142"/>
    <w:rsid w:val="000D0B25"/>
    <w:rsid w:val="001C4409"/>
    <w:rsid w:val="001F2E0D"/>
    <w:rsid w:val="0026136E"/>
    <w:rsid w:val="00263BB3"/>
    <w:rsid w:val="00280886"/>
    <w:rsid w:val="00284939"/>
    <w:rsid w:val="002A1B37"/>
    <w:rsid w:val="003816D7"/>
    <w:rsid w:val="003859E3"/>
    <w:rsid w:val="003E1046"/>
    <w:rsid w:val="003E44D0"/>
    <w:rsid w:val="004A251E"/>
    <w:rsid w:val="004B1BF3"/>
    <w:rsid w:val="004E40A2"/>
    <w:rsid w:val="004E464A"/>
    <w:rsid w:val="004F4540"/>
    <w:rsid w:val="00504E6C"/>
    <w:rsid w:val="005248D7"/>
    <w:rsid w:val="00536F86"/>
    <w:rsid w:val="0059684C"/>
    <w:rsid w:val="005D4819"/>
    <w:rsid w:val="005F7EBA"/>
    <w:rsid w:val="006476DD"/>
    <w:rsid w:val="0065039D"/>
    <w:rsid w:val="00674C70"/>
    <w:rsid w:val="006D0176"/>
    <w:rsid w:val="0079344F"/>
    <w:rsid w:val="00795185"/>
    <w:rsid w:val="007976C9"/>
    <w:rsid w:val="008B778E"/>
    <w:rsid w:val="00930CA9"/>
    <w:rsid w:val="00943643"/>
    <w:rsid w:val="009507C2"/>
    <w:rsid w:val="009B6259"/>
    <w:rsid w:val="009C079D"/>
    <w:rsid w:val="00A17C5A"/>
    <w:rsid w:val="00A64FFF"/>
    <w:rsid w:val="00A704AD"/>
    <w:rsid w:val="00A93D03"/>
    <w:rsid w:val="00AA4156"/>
    <w:rsid w:val="00AC1FB1"/>
    <w:rsid w:val="00AD5BD7"/>
    <w:rsid w:val="00B02F68"/>
    <w:rsid w:val="00B57486"/>
    <w:rsid w:val="00BD3489"/>
    <w:rsid w:val="00C019BC"/>
    <w:rsid w:val="00C02A76"/>
    <w:rsid w:val="00C14CBD"/>
    <w:rsid w:val="00C41F80"/>
    <w:rsid w:val="00C469EC"/>
    <w:rsid w:val="00C70A83"/>
    <w:rsid w:val="00CE4EB5"/>
    <w:rsid w:val="00CF34CE"/>
    <w:rsid w:val="00D50C1F"/>
    <w:rsid w:val="00D63F70"/>
    <w:rsid w:val="00E236F2"/>
    <w:rsid w:val="00EF7824"/>
    <w:rsid w:val="00F3201B"/>
    <w:rsid w:val="00F60405"/>
    <w:rsid w:val="00F905A2"/>
    <w:rsid w:val="00FA1007"/>
    <w:rsid w:val="00FD5A4B"/>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66C7"/>
  <w15:chartTrackingRefBased/>
  <w15:docId w15:val="{45287BC4-4B94-42C3-A73B-66C18FC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079D"/>
    <w:rPr>
      <w:sz w:val="24"/>
      <w:szCs w:val="20"/>
    </w:rPr>
  </w:style>
  <w:style w:type="character" w:customStyle="1" w:styleId="FootnoteTextChar">
    <w:name w:val="Footnote Text Char"/>
    <w:basedOn w:val="DefaultParagraphFont"/>
    <w:link w:val="FootnoteText"/>
    <w:uiPriority w:val="99"/>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56</cp:revision>
  <dcterms:created xsi:type="dcterms:W3CDTF">2019-12-20T12:43:00Z</dcterms:created>
  <dcterms:modified xsi:type="dcterms:W3CDTF">2019-12-22T16:58:00Z</dcterms:modified>
</cp:coreProperties>
</file>