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FF3EB" w14:textId="7D1175F0" w:rsidR="000112E0" w:rsidRDefault="00DF7249" w:rsidP="001051C3">
      <w:pPr>
        <w:pStyle w:val="FootnoteText"/>
      </w:pPr>
      <w:r>
        <w:t>To: Michael Desmond, Chief Counsel</w:t>
      </w:r>
      <w:bookmarkStart w:id="0" w:name="_GoBack"/>
      <w:bookmarkEnd w:id="0"/>
    </w:p>
    <w:p w14:paraId="7942F630" w14:textId="77777777" w:rsidR="000112E0" w:rsidRDefault="000112E0" w:rsidP="001051C3">
      <w:pPr>
        <w:pStyle w:val="FootnoteText"/>
      </w:pPr>
      <w:r>
        <w:t>From: Monte Jackel</w:t>
      </w:r>
    </w:p>
    <w:p w14:paraId="676E5248" w14:textId="77777777" w:rsidR="000112E0" w:rsidRDefault="000112E0" w:rsidP="001051C3">
      <w:pPr>
        <w:pStyle w:val="FootnoteText"/>
      </w:pPr>
      <w:r>
        <w:t>Date: October 15, 2019</w:t>
      </w:r>
    </w:p>
    <w:p w14:paraId="4B65BE55" w14:textId="77777777" w:rsidR="000112E0" w:rsidRDefault="000112E0" w:rsidP="001051C3">
      <w:pPr>
        <w:pStyle w:val="FootnoteText"/>
      </w:pPr>
    </w:p>
    <w:p w14:paraId="552588B4" w14:textId="69242C19" w:rsidR="00C91B82" w:rsidRDefault="000112E0" w:rsidP="001051C3">
      <w:pPr>
        <w:pStyle w:val="FootnoteText"/>
      </w:pPr>
      <w:r>
        <w:t>Subject: Recent Guidance on Cryptocurrency</w:t>
      </w:r>
    </w:p>
    <w:p w14:paraId="2BBCBC8F" w14:textId="77777777" w:rsidR="003232DC" w:rsidRPr="000112E0" w:rsidRDefault="003232DC" w:rsidP="001051C3">
      <w:pPr>
        <w:pStyle w:val="FootnoteText"/>
        <w:rPr>
          <w:b/>
          <w:bCs/>
        </w:rPr>
      </w:pPr>
    </w:p>
    <w:p w14:paraId="0164538C" w14:textId="77DCA9BC" w:rsidR="00C91B82" w:rsidRDefault="003232DC" w:rsidP="003232DC">
      <w:pPr>
        <w:pStyle w:val="FootnoteText"/>
        <w:numPr>
          <w:ilvl w:val="0"/>
          <w:numId w:val="1"/>
        </w:numPr>
        <w:rPr>
          <w:i/>
          <w:iCs/>
        </w:rPr>
      </w:pPr>
      <w:r>
        <w:rPr>
          <w:i/>
          <w:iCs/>
        </w:rPr>
        <w:t>Introduction</w:t>
      </w:r>
    </w:p>
    <w:p w14:paraId="7FF92D99" w14:textId="77777777" w:rsidR="003232DC" w:rsidRPr="003232DC" w:rsidRDefault="003232DC" w:rsidP="001051C3">
      <w:pPr>
        <w:pStyle w:val="FootnoteText"/>
        <w:rPr>
          <w:i/>
          <w:iCs/>
        </w:rPr>
      </w:pPr>
    </w:p>
    <w:p w14:paraId="6DFAC960" w14:textId="15575001" w:rsidR="00C91B82" w:rsidRDefault="00C91B82" w:rsidP="00C03B70">
      <w:pPr>
        <w:pStyle w:val="FootnoteText"/>
        <w:spacing w:line="276" w:lineRule="auto"/>
      </w:pPr>
      <w:r>
        <w:t xml:space="preserve">I write to express some confusion </w:t>
      </w:r>
      <w:r w:rsidR="00C03B70">
        <w:t xml:space="preserve">on the holding of Revenue Ruling 2019-24 </w:t>
      </w:r>
      <w:r w:rsidR="00F0411D">
        <w:t xml:space="preserve">(the ruling) </w:t>
      </w:r>
      <w:r w:rsidR="00C03B70">
        <w:t>that</w:t>
      </w:r>
      <w:r w:rsidR="006B17F0">
        <w:t>,</w:t>
      </w:r>
      <w:r w:rsidR="00C03B70">
        <w:t xml:space="preserve"> when there is an air drop of new </w:t>
      </w:r>
      <w:r w:rsidR="00A46359">
        <w:t>cryptocurrency as a result of a hard fork, the recipient has gross income as “an accession to wealth”. I also write to express my objection to the use of FAQs (frequently asked questions posted on the IRS website)</w:t>
      </w:r>
      <w:r w:rsidR="006B17F0">
        <w:t>,</w:t>
      </w:r>
      <w:r w:rsidR="00A46359">
        <w:t xml:space="preserve"> when it is very far from clear whether those FAQs constitute “authority” under regulation </w:t>
      </w:r>
      <w:r w:rsidR="006B17F0">
        <w:rPr>
          <w:rFonts w:cs="Arial"/>
        </w:rPr>
        <w:t>§</w:t>
      </w:r>
      <w:r w:rsidR="007B5A1D">
        <w:t>1.6662-4(d)(3)</w:t>
      </w:r>
      <w:r w:rsidR="00144E51">
        <w:t xml:space="preserve">(iii) (defining types of authority when determining whether a substantial underpayment penalty is warranted). </w:t>
      </w:r>
    </w:p>
    <w:p w14:paraId="51A4EEEF" w14:textId="3F6F25FC" w:rsidR="003232DC" w:rsidRDefault="003232DC" w:rsidP="00C03B70">
      <w:pPr>
        <w:pStyle w:val="FootnoteText"/>
        <w:spacing w:line="276" w:lineRule="auto"/>
      </w:pPr>
    </w:p>
    <w:p w14:paraId="26110240" w14:textId="2942E21C" w:rsidR="003232DC" w:rsidRPr="003232DC" w:rsidRDefault="003232DC" w:rsidP="003232DC">
      <w:pPr>
        <w:pStyle w:val="FootnoteText"/>
        <w:numPr>
          <w:ilvl w:val="0"/>
          <w:numId w:val="1"/>
        </w:numPr>
        <w:spacing w:line="276" w:lineRule="auto"/>
        <w:rPr>
          <w:i/>
          <w:iCs/>
        </w:rPr>
      </w:pPr>
      <w:r>
        <w:rPr>
          <w:i/>
          <w:iCs/>
        </w:rPr>
        <w:t>Facts of the Ruling</w:t>
      </w:r>
    </w:p>
    <w:p w14:paraId="2889403D" w14:textId="3472207A" w:rsidR="00144E51" w:rsidRDefault="00144E51" w:rsidP="00C03B70">
      <w:pPr>
        <w:pStyle w:val="FootnoteText"/>
        <w:spacing w:line="276" w:lineRule="auto"/>
      </w:pPr>
    </w:p>
    <w:p w14:paraId="1954CAA1" w14:textId="0DB6E394" w:rsidR="00144E51" w:rsidRDefault="00F0411D" w:rsidP="00C03B70">
      <w:pPr>
        <w:pStyle w:val="FootnoteText"/>
        <w:spacing w:line="276" w:lineRule="auto"/>
      </w:pPr>
      <w:r>
        <w:t>Situation 2 of the ruling posits the factual scenario as follows:</w:t>
      </w:r>
    </w:p>
    <w:p w14:paraId="3C4557CB" w14:textId="4B45D4F9" w:rsidR="00F0411D" w:rsidRDefault="00F0411D" w:rsidP="00C03B70">
      <w:pPr>
        <w:pStyle w:val="FootnoteText"/>
        <w:spacing w:line="276" w:lineRule="auto"/>
      </w:pPr>
    </w:p>
    <w:p w14:paraId="51082035" w14:textId="31555D91" w:rsidR="00F0411D" w:rsidRDefault="00F0411D" w:rsidP="00F0411D">
      <w:pPr>
        <w:pStyle w:val="FootnoteText"/>
        <w:ind w:left="432" w:right="432"/>
        <w:rPr>
          <w:rFonts w:ascii="Helvetica" w:hAnsi="Helvetica"/>
          <w:color w:val="222222"/>
        </w:rPr>
      </w:pPr>
      <w:r w:rsidRPr="00F0411D">
        <w:rPr>
          <w:rStyle w:val="Emphasis"/>
          <w:rFonts w:cs="Arial"/>
          <w:color w:val="222222"/>
          <w:sz w:val="22"/>
          <w:szCs w:val="22"/>
        </w:rPr>
        <w:t>B</w:t>
      </w:r>
      <w:r w:rsidRPr="00F0411D">
        <w:rPr>
          <w:rFonts w:cs="Arial"/>
          <w:color w:val="222222"/>
          <w:sz w:val="22"/>
          <w:szCs w:val="22"/>
        </w:rPr>
        <w:t> holds 50 units of </w:t>
      </w:r>
      <w:r w:rsidRPr="00F0411D">
        <w:rPr>
          <w:rStyle w:val="Emphasis"/>
          <w:rFonts w:cs="Arial"/>
          <w:color w:val="222222"/>
          <w:sz w:val="22"/>
          <w:szCs w:val="22"/>
        </w:rPr>
        <w:t>Crypto R</w:t>
      </w:r>
      <w:r w:rsidRPr="00F0411D">
        <w:rPr>
          <w:rFonts w:cs="Arial"/>
          <w:color w:val="222222"/>
          <w:sz w:val="22"/>
          <w:szCs w:val="22"/>
        </w:rPr>
        <w:t>, a cryptocurrency. On </w:t>
      </w:r>
      <w:r w:rsidRPr="00F0411D">
        <w:rPr>
          <w:rStyle w:val="Emphasis"/>
          <w:rFonts w:cs="Arial"/>
          <w:color w:val="222222"/>
          <w:sz w:val="22"/>
          <w:szCs w:val="22"/>
        </w:rPr>
        <w:t>Date 2</w:t>
      </w:r>
      <w:r w:rsidRPr="00F0411D">
        <w:rPr>
          <w:rFonts w:cs="Arial"/>
          <w:color w:val="222222"/>
          <w:sz w:val="22"/>
          <w:szCs w:val="22"/>
        </w:rPr>
        <w:t>, the distributed ledger for </w:t>
      </w:r>
      <w:r w:rsidRPr="00F0411D">
        <w:rPr>
          <w:rStyle w:val="Emphasis"/>
          <w:rFonts w:cs="Arial"/>
          <w:color w:val="222222"/>
          <w:sz w:val="22"/>
          <w:szCs w:val="22"/>
        </w:rPr>
        <w:t>Crypto R</w:t>
      </w:r>
      <w:r w:rsidRPr="00F0411D">
        <w:rPr>
          <w:rFonts w:cs="Arial"/>
          <w:color w:val="222222"/>
          <w:sz w:val="22"/>
          <w:szCs w:val="22"/>
        </w:rPr>
        <w:t> experiences a hard fork, resulting in the creation of </w:t>
      </w:r>
      <w:r w:rsidRPr="00F0411D">
        <w:rPr>
          <w:rStyle w:val="Emphasis"/>
          <w:rFonts w:cs="Arial"/>
          <w:color w:val="222222"/>
          <w:sz w:val="22"/>
          <w:szCs w:val="22"/>
        </w:rPr>
        <w:t>Crypto S</w:t>
      </w:r>
      <w:r w:rsidRPr="00F0411D">
        <w:rPr>
          <w:rFonts w:cs="Arial"/>
          <w:color w:val="222222"/>
          <w:sz w:val="22"/>
          <w:szCs w:val="22"/>
        </w:rPr>
        <w:t>. On that date, 25 units of</w:t>
      </w:r>
      <w:r w:rsidRPr="00F0411D">
        <w:rPr>
          <w:rStyle w:val="Emphasis"/>
          <w:rFonts w:cs="Arial"/>
          <w:color w:val="222222"/>
          <w:sz w:val="22"/>
          <w:szCs w:val="22"/>
        </w:rPr>
        <w:t> Crypto S</w:t>
      </w:r>
      <w:r w:rsidRPr="00F0411D">
        <w:rPr>
          <w:rFonts w:cs="Arial"/>
          <w:color w:val="222222"/>
          <w:sz w:val="22"/>
          <w:szCs w:val="22"/>
        </w:rPr>
        <w:t> are airdropped to</w:t>
      </w:r>
      <w:r w:rsidRPr="00F0411D">
        <w:rPr>
          <w:rStyle w:val="Emphasis"/>
          <w:rFonts w:cs="Arial"/>
          <w:color w:val="222222"/>
          <w:sz w:val="22"/>
          <w:szCs w:val="22"/>
        </w:rPr>
        <w:t> B</w:t>
      </w:r>
      <w:r w:rsidRPr="00F0411D">
        <w:rPr>
          <w:rFonts w:cs="Arial"/>
          <w:color w:val="222222"/>
          <w:sz w:val="22"/>
          <w:szCs w:val="22"/>
        </w:rPr>
        <w:t>'s distributed ledger address and </w:t>
      </w:r>
      <w:r w:rsidRPr="00F0411D">
        <w:rPr>
          <w:rStyle w:val="Emphasis"/>
          <w:rFonts w:cs="Arial"/>
          <w:color w:val="222222"/>
          <w:sz w:val="22"/>
          <w:szCs w:val="22"/>
        </w:rPr>
        <w:t>B</w:t>
      </w:r>
      <w:r w:rsidRPr="00F0411D">
        <w:rPr>
          <w:rFonts w:cs="Arial"/>
          <w:color w:val="222222"/>
          <w:sz w:val="22"/>
          <w:szCs w:val="22"/>
        </w:rPr>
        <w:t> </w:t>
      </w:r>
      <w:proofErr w:type="gramStart"/>
      <w:r w:rsidRPr="00F0411D">
        <w:rPr>
          <w:rFonts w:cs="Arial"/>
          <w:color w:val="222222"/>
          <w:sz w:val="22"/>
          <w:szCs w:val="22"/>
        </w:rPr>
        <w:t>has the ability to</w:t>
      </w:r>
      <w:proofErr w:type="gramEnd"/>
      <w:r w:rsidRPr="00F0411D">
        <w:rPr>
          <w:rFonts w:cs="Arial"/>
          <w:color w:val="222222"/>
          <w:sz w:val="22"/>
          <w:szCs w:val="22"/>
        </w:rPr>
        <w:t xml:space="preserve"> dispose of </w:t>
      </w:r>
      <w:r w:rsidRPr="00F0411D">
        <w:rPr>
          <w:rStyle w:val="Emphasis"/>
          <w:rFonts w:cs="Arial"/>
          <w:color w:val="222222"/>
          <w:sz w:val="22"/>
          <w:szCs w:val="22"/>
        </w:rPr>
        <w:t>Crypto S</w:t>
      </w:r>
      <w:r w:rsidRPr="00F0411D">
        <w:rPr>
          <w:rFonts w:cs="Arial"/>
          <w:color w:val="222222"/>
          <w:sz w:val="22"/>
          <w:szCs w:val="22"/>
        </w:rPr>
        <w:t> immediately following the airdrop. </w:t>
      </w:r>
      <w:r w:rsidRPr="00F0411D">
        <w:rPr>
          <w:rStyle w:val="Emphasis"/>
          <w:rFonts w:cs="Arial"/>
          <w:color w:val="222222"/>
          <w:sz w:val="22"/>
          <w:szCs w:val="22"/>
        </w:rPr>
        <w:t>B</w:t>
      </w:r>
      <w:r w:rsidRPr="00F0411D">
        <w:rPr>
          <w:rFonts w:cs="Arial"/>
          <w:color w:val="222222"/>
          <w:sz w:val="22"/>
          <w:szCs w:val="22"/>
        </w:rPr>
        <w:t> now holds 50 units of</w:t>
      </w:r>
      <w:r w:rsidRPr="00F0411D">
        <w:rPr>
          <w:rStyle w:val="Emphasis"/>
          <w:rFonts w:cs="Arial"/>
          <w:color w:val="222222"/>
          <w:sz w:val="22"/>
          <w:szCs w:val="22"/>
        </w:rPr>
        <w:t> Crypto R</w:t>
      </w:r>
      <w:r w:rsidRPr="00F0411D">
        <w:rPr>
          <w:rFonts w:cs="Arial"/>
          <w:color w:val="222222"/>
          <w:sz w:val="22"/>
          <w:szCs w:val="22"/>
        </w:rPr>
        <w:t> and 25 units of</w:t>
      </w:r>
      <w:r w:rsidRPr="00F0411D">
        <w:rPr>
          <w:rStyle w:val="Emphasis"/>
          <w:rFonts w:cs="Arial"/>
          <w:color w:val="222222"/>
          <w:sz w:val="22"/>
          <w:szCs w:val="22"/>
        </w:rPr>
        <w:t> Crypto S</w:t>
      </w:r>
      <w:r w:rsidRPr="00F0411D">
        <w:rPr>
          <w:rFonts w:cs="Arial"/>
          <w:color w:val="222222"/>
          <w:sz w:val="22"/>
          <w:szCs w:val="22"/>
        </w:rPr>
        <w:t>. The airdrop of</w:t>
      </w:r>
      <w:r w:rsidRPr="00F0411D">
        <w:rPr>
          <w:rStyle w:val="Emphasis"/>
          <w:rFonts w:cs="Arial"/>
          <w:color w:val="222222"/>
          <w:sz w:val="22"/>
          <w:szCs w:val="22"/>
        </w:rPr>
        <w:t> Crypto S</w:t>
      </w:r>
      <w:r w:rsidRPr="00F0411D">
        <w:rPr>
          <w:rFonts w:cs="Arial"/>
          <w:color w:val="222222"/>
          <w:sz w:val="22"/>
          <w:szCs w:val="22"/>
        </w:rPr>
        <w:t> is recorded on the distributed ledger on </w:t>
      </w:r>
      <w:r w:rsidRPr="00F0411D">
        <w:rPr>
          <w:rStyle w:val="Emphasis"/>
          <w:rFonts w:cs="Arial"/>
          <w:color w:val="222222"/>
          <w:sz w:val="22"/>
          <w:szCs w:val="22"/>
        </w:rPr>
        <w:t>Date 2</w:t>
      </w:r>
      <w:r w:rsidRPr="00F0411D">
        <w:rPr>
          <w:rFonts w:cs="Arial"/>
          <w:color w:val="222222"/>
          <w:sz w:val="22"/>
          <w:szCs w:val="22"/>
        </w:rPr>
        <w:t> at </w:t>
      </w:r>
      <w:r w:rsidRPr="00F0411D">
        <w:rPr>
          <w:rStyle w:val="Emphasis"/>
          <w:rFonts w:cs="Arial"/>
          <w:color w:val="222222"/>
          <w:sz w:val="22"/>
          <w:szCs w:val="22"/>
        </w:rPr>
        <w:t>Time 1</w:t>
      </w:r>
      <w:r w:rsidRPr="00F0411D">
        <w:rPr>
          <w:rFonts w:cs="Arial"/>
          <w:color w:val="222222"/>
          <w:sz w:val="22"/>
          <w:szCs w:val="22"/>
        </w:rPr>
        <w:t> and, at that date and time, the fair market value of </w:t>
      </w:r>
      <w:r w:rsidRPr="00F0411D">
        <w:rPr>
          <w:rStyle w:val="Emphasis"/>
          <w:rFonts w:cs="Arial"/>
          <w:color w:val="222222"/>
          <w:sz w:val="22"/>
          <w:szCs w:val="22"/>
        </w:rPr>
        <w:t>B</w:t>
      </w:r>
      <w:r w:rsidRPr="00F0411D">
        <w:rPr>
          <w:rFonts w:cs="Arial"/>
          <w:color w:val="222222"/>
          <w:sz w:val="22"/>
          <w:szCs w:val="22"/>
        </w:rPr>
        <w:t>'s 25 units of </w:t>
      </w:r>
      <w:r w:rsidRPr="00F0411D">
        <w:rPr>
          <w:rStyle w:val="Emphasis"/>
          <w:rFonts w:cs="Arial"/>
          <w:color w:val="222222"/>
          <w:sz w:val="22"/>
          <w:szCs w:val="22"/>
        </w:rPr>
        <w:t>Crypto S</w:t>
      </w:r>
      <w:r w:rsidRPr="00F0411D">
        <w:rPr>
          <w:rFonts w:cs="Arial"/>
          <w:color w:val="222222"/>
          <w:sz w:val="22"/>
          <w:szCs w:val="22"/>
        </w:rPr>
        <w:t> is $50. </w:t>
      </w:r>
      <w:r w:rsidRPr="00F0411D">
        <w:rPr>
          <w:rStyle w:val="Emphasis"/>
          <w:rFonts w:cs="Arial"/>
          <w:color w:val="222222"/>
          <w:sz w:val="22"/>
          <w:szCs w:val="22"/>
        </w:rPr>
        <w:t>B</w:t>
      </w:r>
      <w:r w:rsidRPr="00F0411D">
        <w:rPr>
          <w:rFonts w:cs="Arial"/>
          <w:color w:val="222222"/>
          <w:sz w:val="22"/>
          <w:szCs w:val="22"/>
        </w:rPr>
        <w:t> receives the </w:t>
      </w:r>
      <w:r w:rsidRPr="00F0411D">
        <w:rPr>
          <w:rStyle w:val="Emphasis"/>
          <w:rFonts w:cs="Arial"/>
          <w:color w:val="222222"/>
          <w:sz w:val="22"/>
          <w:szCs w:val="22"/>
        </w:rPr>
        <w:t>Crypto S</w:t>
      </w:r>
      <w:r w:rsidRPr="00F0411D">
        <w:rPr>
          <w:rFonts w:cs="Arial"/>
          <w:color w:val="222222"/>
          <w:sz w:val="22"/>
          <w:szCs w:val="22"/>
        </w:rPr>
        <w:t> solely because </w:t>
      </w:r>
      <w:r w:rsidRPr="00F0411D">
        <w:rPr>
          <w:rStyle w:val="Emphasis"/>
          <w:rFonts w:cs="Arial"/>
          <w:color w:val="222222"/>
          <w:sz w:val="22"/>
          <w:szCs w:val="22"/>
        </w:rPr>
        <w:t>B</w:t>
      </w:r>
      <w:r w:rsidRPr="00F0411D">
        <w:rPr>
          <w:rFonts w:cs="Arial"/>
          <w:color w:val="222222"/>
          <w:sz w:val="22"/>
          <w:szCs w:val="22"/>
        </w:rPr>
        <w:t> owns </w:t>
      </w:r>
      <w:r w:rsidRPr="00F0411D">
        <w:rPr>
          <w:rStyle w:val="Emphasis"/>
          <w:rFonts w:cs="Arial"/>
          <w:color w:val="222222"/>
          <w:sz w:val="22"/>
          <w:szCs w:val="22"/>
        </w:rPr>
        <w:t>Crypto R</w:t>
      </w:r>
      <w:r w:rsidRPr="00F0411D">
        <w:rPr>
          <w:rFonts w:cs="Arial"/>
          <w:color w:val="222222"/>
          <w:sz w:val="22"/>
          <w:szCs w:val="22"/>
        </w:rPr>
        <w:t> at the time of the hard fork. After the airdrop, transactions involving </w:t>
      </w:r>
      <w:r w:rsidRPr="00F0411D">
        <w:rPr>
          <w:rStyle w:val="Emphasis"/>
          <w:rFonts w:cs="Arial"/>
          <w:color w:val="222222"/>
          <w:sz w:val="22"/>
          <w:szCs w:val="22"/>
        </w:rPr>
        <w:t>Crypto S</w:t>
      </w:r>
      <w:r w:rsidRPr="00F0411D">
        <w:rPr>
          <w:rFonts w:cs="Arial"/>
          <w:color w:val="222222"/>
          <w:sz w:val="22"/>
          <w:szCs w:val="22"/>
        </w:rPr>
        <w:t> are recorded on the new distributed ledger and transactions involving </w:t>
      </w:r>
      <w:r w:rsidRPr="00F0411D">
        <w:rPr>
          <w:rStyle w:val="Emphasis"/>
          <w:rFonts w:cs="Arial"/>
          <w:color w:val="222222"/>
          <w:sz w:val="22"/>
          <w:szCs w:val="22"/>
        </w:rPr>
        <w:t>Crypto R</w:t>
      </w:r>
      <w:r w:rsidRPr="00F0411D">
        <w:rPr>
          <w:rFonts w:cs="Arial"/>
          <w:color w:val="222222"/>
          <w:sz w:val="22"/>
          <w:szCs w:val="22"/>
        </w:rPr>
        <w:t> continue to be recorded on the legacy distributed ledger</w:t>
      </w:r>
      <w:r>
        <w:rPr>
          <w:rFonts w:ascii="Helvetica" w:hAnsi="Helvetica"/>
          <w:color w:val="222222"/>
        </w:rPr>
        <w:t>.</w:t>
      </w:r>
    </w:p>
    <w:p w14:paraId="32F3405E" w14:textId="77777777" w:rsidR="003232DC" w:rsidRDefault="003232DC" w:rsidP="00F0411D">
      <w:pPr>
        <w:pStyle w:val="FootnoteText"/>
        <w:ind w:left="432" w:right="432"/>
        <w:rPr>
          <w:rFonts w:ascii="Helvetica" w:hAnsi="Helvetica"/>
          <w:color w:val="222222"/>
        </w:rPr>
      </w:pPr>
    </w:p>
    <w:p w14:paraId="528A86A1" w14:textId="275BAEA9" w:rsidR="00361457" w:rsidRDefault="00361457" w:rsidP="00F0411D">
      <w:pPr>
        <w:pStyle w:val="FootnoteText"/>
        <w:ind w:left="432" w:right="432"/>
      </w:pPr>
    </w:p>
    <w:p w14:paraId="0348553A" w14:textId="6D5AF4EE" w:rsidR="00361457" w:rsidRPr="003232DC" w:rsidRDefault="003232DC" w:rsidP="003232DC">
      <w:pPr>
        <w:pStyle w:val="FootnoteText"/>
        <w:numPr>
          <w:ilvl w:val="0"/>
          <w:numId w:val="1"/>
        </w:numPr>
        <w:rPr>
          <w:i/>
          <w:iCs/>
        </w:rPr>
      </w:pPr>
      <w:r>
        <w:rPr>
          <w:i/>
          <w:iCs/>
        </w:rPr>
        <w:t>Analysis and Conclusion in the Ruling</w:t>
      </w:r>
    </w:p>
    <w:p w14:paraId="675C9C2E" w14:textId="77777777" w:rsidR="003232DC" w:rsidRDefault="003232DC" w:rsidP="00F0411D">
      <w:pPr>
        <w:pStyle w:val="FootnoteText"/>
        <w:ind w:left="432" w:right="432"/>
      </w:pPr>
    </w:p>
    <w:p w14:paraId="03426970" w14:textId="2EEAF49A" w:rsidR="00361457" w:rsidRDefault="007D14F3" w:rsidP="00361457">
      <w:pPr>
        <w:pStyle w:val="FootnoteText"/>
        <w:spacing w:line="276" w:lineRule="auto"/>
        <w:rPr>
          <w:sz w:val="26"/>
          <w:szCs w:val="26"/>
        </w:rPr>
      </w:pPr>
      <w:r>
        <w:rPr>
          <w:sz w:val="26"/>
          <w:szCs w:val="26"/>
        </w:rPr>
        <w:t>The ruling then posits the following in arriving at its conclusion that B had an income inclusion under section 61</w:t>
      </w:r>
      <w:r w:rsidR="00095622">
        <w:rPr>
          <w:sz w:val="26"/>
          <w:szCs w:val="26"/>
        </w:rPr>
        <w:t>.</w:t>
      </w:r>
    </w:p>
    <w:p w14:paraId="3554FA03" w14:textId="18080CA6" w:rsidR="007D14F3" w:rsidRDefault="007D14F3" w:rsidP="00361457">
      <w:pPr>
        <w:pStyle w:val="FootnoteText"/>
        <w:spacing w:line="276" w:lineRule="auto"/>
        <w:rPr>
          <w:sz w:val="26"/>
          <w:szCs w:val="26"/>
        </w:rPr>
      </w:pPr>
    </w:p>
    <w:p w14:paraId="07DA01B1" w14:textId="788D32F7" w:rsidR="007D14F3" w:rsidRDefault="00A71859" w:rsidP="00F32430">
      <w:pPr>
        <w:pStyle w:val="FootnoteText"/>
        <w:ind w:left="432" w:right="432"/>
        <w:rPr>
          <w:rFonts w:cs="Arial"/>
          <w:sz w:val="22"/>
          <w:szCs w:val="22"/>
        </w:rPr>
      </w:pPr>
      <w:r w:rsidRPr="00F32430">
        <w:rPr>
          <w:rFonts w:cs="Arial"/>
          <w:color w:val="222222"/>
          <w:sz w:val="22"/>
          <w:szCs w:val="22"/>
        </w:rPr>
        <w:t xml:space="preserve">Section 61(a)(3) </w:t>
      </w:r>
      <w:r w:rsidR="007D14F3" w:rsidRPr="00F32430">
        <w:rPr>
          <w:rFonts w:cs="Arial"/>
          <w:color w:val="222222"/>
          <w:sz w:val="22"/>
          <w:szCs w:val="22"/>
        </w:rPr>
        <w:t>provides that, except as otherwise provided by law, gross income means all income from whatever source derived, including gains from dealings in property. Under</w:t>
      </w:r>
      <w:r w:rsidRPr="00F32430">
        <w:rPr>
          <w:rFonts w:cs="Arial"/>
          <w:color w:val="222222"/>
          <w:sz w:val="22"/>
          <w:szCs w:val="22"/>
        </w:rPr>
        <w:t xml:space="preserve"> §61, </w:t>
      </w:r>
      <w:r w:rsidR="007D14F3" w:rsidRPr="00F32430">
        <w:rPr>
          <w:rFonts w:cs="Arial"/>
          <w:color w:val="222222"/>
          <w:sz w:val="22"/>
          <w:szCs w:val="22"/>
        </w:rPr>
        <w:t>all gains or undeniable accessions to wealth, clearly realized, over which a taxpayer has complete dominion, are included in gross income. </w:t>
      </w:r>
      <w:r w:rsidR="007D14F3" w:rsidRPr="00F32430">
        <w:rPr>
          <w:rFonts w:cs="Arial"/>
          <w:color w:val="222222"/>
          <w:sz w:val="22"/>
          <w:szCs w:val="22"/>
          <w:u w:val="single"/>
        </w:rPr>
        <w:t>See</w:t>
      </w:r>
      <w:r w:rsidR="007D14F3" w:rsidRPr="00F32430">
        <w:rPr>
          <w:rFonts w:cs="Arial"/>
          <w:color w:val="222222"/>
          <w:sz w:val="22"/>
          <w:szCs w:val="22"/>
        </w:rPr>
        <w:t> </w:t>
      </w:r>
      <w:r w:rsidRPr="00F32430">
        <w:rPr>
          <w:rFonts w:cs="Arial"/>
          <w:color w:val="222222"/>
          <w:sz w:val="22"/>
          <w:szCs w:val="22"/>
        </w:rPr>
        <w:t>Commissioner v. Glenshaw Glass Co.</w:t>
      </w:r>
      <w:r w:rsidRPr="00F32430">
        <w:rPr>
          <w:rFonts w:cs="Arial"/>
          <w:sz w:val="22"/>
          <w:szCs w:val="22"/>
        </w:rPr>
        <w:t>,</w:t>
      </w:r>
      <w:r w:rsidRPr="00F32430">
        <w:rPr>
          <w:rFonts w:cs="Arial"/>
          <w:color w:val="222222"/>
          <w:sz w:val="22"/>
          <w:szCs w:val="22"/>
        </w:rPr>
        <w:t xml:space="preserve"> </w:t>
      </w:r>
      <w:r w:rsidR="007D14F3" w:rsidRPr="00F32430">
        <w:rPr>
          <w:rFonts w:cs="Arial"/>
          <w:color w:val="222222"/>
          <w:sz w:val="22"/>
          <w:szCs w:val="22"/>
        </w:rPr>
        <w:t>348 U.S. 426, 431 (1955).</w:t>
      </w:r>
      <w:r w:rsidRPr="00F32430">
        <w:rPr>
          <w:rFonts w:cs="Arial"/>
          <w:color w:val="222222"/>
          <w:sz w:val="22"/>
          <w:szCs w:val="22"/>
        </w:rPr>
        <w:t>...</w:t>
      </w:r>
      <w:r w:rsidR="00AC5882" w:rsidRPr="00F32430">
        <w:rPr>
          <w:rStyle w:val="FootnoteReference"/>
          <w:rFonts w:cs="Arial"/>
          <w:color w:val="222222"/>
          <w:sz w:val="22"/>
          <w:szCs w:val="22"/>
        </w:rPr>
        <w:t xml:space="preserve"> </w:t>
      </w:r>
      <w:r w:rsidR="00AC5882" w:rsidRPr="00F32430">
        <w:rPr>
          <w:rStyle w:val="Emphasis"/>
          <w:rFonts w:cs="Arial"/>
          <w:color w:val="222222"/>
          <w:sz w:val="22"/>
          <w:szCs w:val="22"/>
        </w:rPr>
        <w:t>B</w:t>
      </w:r>
      <w:r w:rsidR="00AC5882" w:rsidRPr="00F32430">
        <w:rPr>
          <w:rFonts w:cs="Arial"/>
          <w:color w:val="222222"/>
          <w:sz w:val="22"/>
          <w:szCs w:val="22"/>
        </w:rPr>
        <w:t> received a new asset, </w:t>
      </w:r>
      <w:r w:rsidR="00AC5882" w:rsidRPr="00F32430">
        <w:rPr>
          <w:rStyle w:val="Emphasis"/>
          <w:rFonts w:cs="Arial"/>
          <w:color w:val="222222"/>
          <w:sz w:val="22"/>
          <w:szCs w:val="22"/>
        </w:rPr>
        <w:t>Crypto S</w:t>
      </w:r>
      <w:r w:rsidR="00AC5882" w:rsidRPr="00F32430">
        <w:rPr>
          <w:rFonts w:cs="Arial"/>
          <w:color w:val="222222"/>
          <w:sz w:val="22"/>
          <w:szCs w:val="22"/>
        </w:rPr>
        <w:t>, in the airdrop following the hard fork; therefore, </w:t>
      </w:r>
      <w:r w:rsidR="00AC5882" w:rsidRPr="00F32430">
        <w:rPr>
          <w:rStyle w:val="Emphasis"/>
          <w:rFonts w:cs="Arial"/>
          <w:color w:val="222222"/>
          <w:sz w:val="22"/>
          <w:szCs w:val="22"/>
        </w:rPr>
        <w:t>B</w:t>
      </w:r>
      <w:r w:rsidR="00AC5882" w:rsidRPr="00F32430">
        <w:rPr>
          <w:rFonts w:cs="Arial"/>
          <w:color w:val="222222"/>
          <w:sz w:val="22"/>
          <w:szCs w:val="22"/>
        </w:rPr>
        <w:t> has an accession to wealth and has ordinary income in the taxable year in which the </w:t>
      </w:r>
      <w:r w:rsidR="00AC5882" w:rsidRPr="00F32430">
        <w:rPr>
          <w:rStyle w:val="Emphasis"/>
          <w:rFonts w:cs="Arial"/>
          <w:color w:val="222222"/>
          <w:sz w:val="22"/>
          <w:szCs w:val="22"/>
        </w:rPr>
        <w:t>Crypto S</w:t>
      </w:r>
      <w:r w:rsidR="00AC5882" w:rsidRPr="00F32430">
        <w:rPr>
          <w:rFonts w:cs="Arial"/>
          <w:color w:val="222222"/>
          <w:sz w:val="22"/>
          <w:szCs w:val="22"/>
        </w:rPr>
        <w:t> is received. </w:t>
      </w:r>
      <w:r w:rsidR="00AC5882" w:rsidRPr="00F32430">
        <w:rPr>
          <w:rFonts w:cs="Arial"/>
          <w:color w:val="222222"/>
          <w:sz w:val="22"/>
          <w:szCs w:val="22"/>
          <w:u w:val="single"/>
        </w:rPr>
        <w:t>See</w:t>
      </w:r>
      <w:r w:rsidR="00AC5882" w:rsidRPr="00F32430">
        <w:rPr>
          <w:rFonts w:cs="Arial"/>
          <w:color w:val="222222"/>
          <w:sz w:val="22"/>
          <w:szCs w:val="22"/>
        </w:rPr>
        <w:t> §§61 and 451. </w:t>
      </w:r>
      <w:r w:rsidR="00AC5882" w:rsidRPr="00F32430">
        <w:rPr>
          <w:rStyle w:val="Emphasis"/>
          <w:rFonts w:cs="Arial"/>
          <w:color w:val="222222"/>
          <w:sz w:val="22"/>
          <w:szCs w:val="22"/>
        </w:rPr>
        <w:t>B</w:t>
      </w:r>
      <w:r w:rsidR="00AC5882" w:rsidRPr="00F32430">
        <w:rPr>
          <w:rFonts w:cs="Arial"/>
          <w:color w:val="222222"/>
          <w:sz w:val="22"/>
          <w:szCs w:val="22"/>
        </w:rPr>
        <w:t xml:space="preserve"> has dominion and control </w:t>
      </w:r>
      <w:r w:rsidR="00AC5882" w:rsidRPr="00F32430">
        <w:rPr>
          <w:rFonts w:cs="Arial"/>
          <w:color w:val="222222"/>
          <w:sz w:val="22"/>
          <w:szCs w:val="22"/>
        </w:rPr>
        <w:lastRenderedPageBreak/>
        <w:t>of </w:t>
      </w:r>
      <w:r w:rsidR="00AC5882" w:rsidRPr="00F32430">
        <w:rPr>
          <w:rStyle w:val="Emphasis"/>
          <w:rFonts w:cs="Arial"/>
          <w:color w:val="222222"/>
          <w:sz w:val="22"/>
          <w:szCs w:val="22"/>
        </w:rPr>
        <w:t>Crypto S</w:t>
      </w:r>
      <w:r w:rsidR="00AC5882" w:rsidRPr="00F32430">
        <w:rPr>
          <w:rFonts w:cs="Arial"/>
          <w:color w:val="222222"/>
          <w:sz w:val="22"/>
          <w:szCs w:val="22"/>
        </w:rPr>
        <w:t> at the time of the airdrop, when it is recorded on the distributed ledger, because </w:t>
      </w:r>
      <w:r w:rsidR="00AC5882" w:rsidRPr="00F32430">
        <w:rPr>
          <w:rStyle w:val="Emphasis"/>
          <w:rFonts w:cs="Arial"/>
          <w:color w:val="222222"/>
          <w:sz w:val="22"/>
          <w:szCs w:val="22"/>
        </w:rPr>
        <w:t>B</w:t>
      </w:r>
      <w:r w:rsidR="00AC5882" w:rsidRPr="00F32430">
        <w:rPr>
          <w:rFonts w:cs="Arial"/>
          <w:color w:val="222222"/>
          <w:sz w:val="22"/>
          <w:szCs w:val="22"/>
        </w:rPr>
        <w:t xml:space="preserve"> immediately </w:t>
      </w:r>
      <w:proofErr w:type="gramStart"/>
      <w:r w:rsidR="00AC5882" w:rsidRPr="00F32430">
        <w:rPr>
          <w:rFonts w:cs="Arial"/>
          <w:color w:val="222222"/>
          <w:sz w:val="22"/>
          <w:szCs w:val="22"/>
        </w:rPr>
        <w:t>has the ability to</w:t>
      </w:r>
      <w:proofErr w:type="gramEnd"/>
      <w:r w:rsidR="00AC5882" w:rsidRPr="00F32430">
        <w:rPr>
          <w:rFonts w:cs="Arial"/>
          <w:color w:val="222222"/>
          <w:sz w:val="22"/>
          <w:szCs w:val="22"/>
        </w:rPr>
        <w:t xml:space="preserve"> dispose of </w:t>
      </w:r>
      <w:r w:rsidR="00AC5882" w:rsidRPr="00F32430">
        <w:rPr>
          <w:rStyle w:val="Emphasis"/>
          <w:rFonts w:cs="Arial"/>
          <w:color w:val="222222"/>
          <w:sz w:val="22"/>
          <w:szCs w:val="22"/>
        </w:rPr>
        <w:t>Crypto S</w:t>
      </w:r>
      <w:r w:rsidR="00AC5882" w:rsidRPr="00F32430">
        <w:rPr>
          <w:rFonts w:cs="Arial"/>
          <w:color w:val="222222"/>
          <w:sz w:val="22"/>
          <w:szCs w:val="22"/>
        </w:rPr>
        <w:t>. The amount included in gross income is $50, the fair market value of B's 25 units of </w:t>
      </w:r>
      <w:r w:rsidR="00AC5882" w:rsidRPr="00F32430">
        <w:rPr>
          <w:rStyle w:val="Emphasis"/>
          <w:rFonts w:cs="Arial"/>
          <w:color w:val="222222"/>
          <w:sz w:val="22"/>
          <w:szCs w:val="22"/>
        </w:rPr>
        <w:t>Crypto S</w:t>
      </w:r>
      <w:r w:rsidR="00AC5882" w:rsidRPr="00F32430">
        <w:rPr>
          <w:rFonts w:cs="Arial"/>
          <w:color w:val="222222"/>
          <w:sz w:val="22"/>
          <w:szCs w:val="22"/>
        </w:rPr>
        <w:t> when the airdrop is recorded on the distributed ledger. </w:t>
      </w:r>
      <w:r w:rsidR="00AC5882" w:rsidRPr="00F32430">
        <w:rPr>
          <w:rStyle w:val="Emphasis"/>
          <w:rFonts w:cs="Arial"/>
          <w:color w:val="222222"/>
          <w:sz w:val="22"/>
          <w:szCs w:val="22"/>
        </w:rPr>
        <w:t>B</w:t>
      </w:r>
      <w:r w:rsidR="00AC5882" w:rsidRPr="00F32430">
        <w:rPr>
          <w:rFonts w:cs="Arial"/>
          <w:color w:val="222222"/>
          <w:sz w:val="22"/>
          <w:szCs w:val="22"/>
        </w:rPr>
        <w:t>'s basis in </w:t>
      </w:r>
      <w:r w:rsidR="00AC5882" w:rsidRPr="00F32430">
        <w:rPr>
          <w:rStyle w:val="Emphasis"/>
          <w:rFonts w:cs="Arial"/>
          <w:color w:val="222222"/>
          <w:sz w:val="22"/>
          <w:szCs w:val="22"/>
        </w:rPr>
        <w:t>Crypto S</w:t>
      </w:r>
      <w:r w:rsidR="00AC5882" w:rsidRPr="00F32430">
        <w:rPr>
          <w:rFonts w:cs="Arial"/>
          <w:color w:val="222222"/>
          <w:sz w:val="22"/>
          <w:szCs w:val="22"/>
        </w:rPr>
        <w:t> is $50, the amount of income recognized. </w:t>
      </w:r>
      <w:r w:rsidR="00AC5882" w:rsidRPr="00F32430">
        <w:rPr>
          <w:rFonts w:cs="Arial"/>
          <w:color w:val="222222"/>
          <w:sz w:val="22"/>
          <w:szCs w:val="22"/>
          <w:u w:val="single"/>
        </w:rPr>
        <w:t>See</w:t>
      </w:r>
      <w:r w:rsidR="00AC5882" w:rsidRPr="00F32430">
        <w:rPr>
          <w:rFonts w:cs="Arial"/>
          <w:color w:val="222222"/>
          <w:sz w:val="22"/>
          <w:szCs w:val="22"/>
        </w:rPr>
        <w:t> §§ 61, 1011 and 1.61-2(d)(2)(</w:t>
      </w:r>
      <w:proofErr w:type="gramStart"/>
      <w:r w:rsidR="00AC5882" w:rsidRPr="00F32430">
        <w:rPr>
          <w:rFonts w:cs="Arial"/>
          <w:color w:val="222222"/>
          <w:sz w:val="22"/>
          <w:szCs w:val="22"/>
        </w:rPr>
        <w:t>i).</w:t>
      </w:r>
      <w:r w:rsidR="00073568" w:rsidRPr="00F32430">
        <w:rPr>
          <w:rFonts w:cs="Arial"/>
          <w:color w:val="222222"/>
          <w:sz w:val="22"/>
          <w:szCs w:val="22"/>
        </w:rPr>
        <w:t>....</w:t>
      </w:r>
      <w:proofErr w:type="gramEnd"/>
      <w:r w:rsidR="00073568" w:rsidRPr="00F32430">
        <w:rPr>
          <w:rFonts w:cs="Arial"/>
          <w:color w:val="222222"/>
          <w:sz w:val="22"/>
          <w:szCs w:val="22"/>
        </w:rPr>
        <w:t xml:space="preserve"> A taxpayer has gross income, ordinary in character, under</w:t>
      </w:r>
      <w:r w:rsidR="00F32430" w:rsidRPr="00F32430">
        <w:rPr>
          <w:rFonts w:cs="Arial"/>
          <w:color w:val="222222"/>
          <w:sz w:val="22"/>
          <w:szCs w:val="22"/>
        </w:rPr>
        <w:t xml:space="preserve"> §61</w:t>
      </w:r>
      <w:r w:rsidR="00073568" w:rsidRPr="00F32430">
        <w:rPr>
          <w:rFonts w:cs="Arial"/>
          <w:color w:val="222222"/>
          <w:sz w:val="22"/>
          <w:szCs w:val="22"/>
        </w:rPr>
        <w:t> as a result of an airdrop of a new cryptocurrency following a hard fork if the taxpayer receives units of new cryptocurrency.</w:t>
      </w:r>
      <w:r w:rsidRPr="00F32430">
        <w:rPr>
          <w:rFonts w:cs="Arial"/>
          <w:sz w:val="22"/>
          <w:szCs w:val="22"/>
        </w:rPr>
        <w:t xml:space="preserve"> </w:t>
      </w:r>
    </w:p>
    <w:p w14:paraId="5BE914C1" w14:textId="17CE2707" w:rsidR="00702396" w:rsidRDefault="00702396" w:rsidP="00F32430">
      <w:pPr>
        <w:pStyle w:val="FootnoteText"/>
        <w:ind w:left="432" w:right="432"/>
        <w:rPr>
          <w:rFonts w:cs="Arial"/>
          <w:sz w:val="22"/>
          <w:szCs w:val="22"/>
        </w:rPr>
      </w:pPr>
    </w:p>
    <w:p w14:paraId="5ABBF522" w14:textId="77B7FF07" w:rsidR="00702396" w:rsidRDefault="00702396" w:rsidP="00F32430">
      <w:pPr>
        <w:pStyle w:val="FootnoteText"/>
        <w:ind w:left="432" w:right="432"/>
        <w:rPr>
          <w:rFonts w:cs="Arial"/>
          <w:sz w:val="22"/>
          <w:szCs w:val="22"/>
        </w:rPr>
      </w:pPr>
    </w:p>
    <w:p w14:paraId="3FF1ABB8" w14:textId="3218DB26" w:rsidR="003232DC" w:rsidRDefault="003232DC" w:rsidP="003232DC">
      <w:pPr>
        <w:pStyle w:val="FootnoteText"/>
        <w:numPr>
          <w:ilvl w:val="0"/>
          <w:numId w:val="1"/>
        </w:numPr>
        <w:spacing w:line="276" w:lineRule="auto"/>
        <w:rPr>
          <w:rFonts w:cs="Arial"/>
          <w:sz w:val="26"/>
          <w:szCs w:val="26"/>
        </w:rPr>
      </w:pPr>
      <w:r>
        <w:rPr>
          <w:rFonts w:cs="Arial"/>
          <w:i/>
          <w:iCs/>
          <w:sz w:val="26"/>
          <w:szCs w:val="26"/>
        </w:rPr>
        <w:t>Several Points and Observations about the Ruling</w:t>
      </w:r>
    </w:p>
    <w:p w14:paraId="2E86229E" w14:textId="77777777" w:rsidR="003232DC" w:rsidRDefault="003232DC" w:rsidP="00702396">
      <w:pPr>
        <w:pStyle w:val="FootnoteText"/>
        <w:spacing w:line="276" w:lineRule="auto"/>
        <w:rPr>
          <w:rFonts w:cs="Arial"/>
          <w:sz w:val="26"/>
          <w:szCs w:val="26"/>
        </w:rPr>
      </w:pPr>
    </w:p>
    <w:p w14:paraId="68BF9C09" w14:textId="289D6B85" w:rsidR="00702396" w:rsidRDefault="00702396" w:rsidP="00702396">
      <w:pPr>
        <w:pStyle w:val="FootnoteText"/>
        <w:spacing w:line="276" w:lineRule="auto"/>
        <w:rPr>
          <w:rFonts w:cs="Arial"/>
          <w:sz w:val="26"/>
          <w:szCs w:val="26"/>
        </w:rPr>
      </w:pPr>
      <w:r>
        <w:rPr>
          <w:rFonts w:cs="Arial"/>
          <w:sz w:val="26"/>
          <w:szCs w:val="26"/>
        </w:rPr>
        <w:t>Several points should be noted</w:t>
      </w:r>
      <w:r w:rsidR="003232DC">
        <w:rPr>
          <w:rFonts w:cs="Arial"/>
          <w:sz w:val="26"/>
          <w:szCs w:val="26"/>
        </w:rPr>
        <w:t>, and observations made,</w:t>
      </w:r>
      <w:r>
        <w:rPr>
          <w:rFonts w:cs="Arial"/>
          <w:sz w:val="26"/>
          <w:szCs w:val="26"/>
        </w:rPr>
        <w:t xml:space="preserve"> about the above language from the ruling:</w:t>
      </w:r>
    </w:p>
    <w:p w14:paraId="27F8DD6D" w14:textId="11536316" w:rsidR="00702396" w:rsidRDefault="00702396" w:rsidP="00702396">
      <w:pPr>
        <w:pStyle w:val="FootnoteText"/>
        <w:spacing w:line="276" w:lineRule="auto"/>
        <w:rPr>
          <w:rFonts w:cs="Arial"/>
          <w:sz w:val="26"/>
          <w:szCs w:val="26"/>
        </w:rPr>
      </w:pPr>
    </w:p>
    <w:p w14:paraId="600E1557" w14:textId="194743E2" w:rsidR="00602F13" w:rsidRDefault="00702396" w:rsidP="0081533F">
      <w:pPr>
        <w:pStyle w:val="FootnoteText"/>
        <w:spacing w:line="276" w:lineRule="auto"/>
        <w:ind w:left="432" w:right="432"/>
        <w:rPr>
          <w:rFonts w:cs="Arial"/>
          <w:sz w:val="26"/>
          <w:szCs w:val="26"/>
        </w:rPr>
      </w:pPr>
      <w:r>
        <w:rPr>
          <w:rFonts w:cs="Arial"/>
          <w:sz w:val="26"/>
          <w:szCs w:val="26"/>
        </w:rPr>
        <w:t>● There is no statement of facts</w:t>
      </w:r>
      <w:r w:rsidR="00602F13">
        <w:rPr>
          <w:rFonts w:cs="Arial"/>
          <w:sz w:val="26"/>
          <w:szCs w:val="26"/>
        </w:rPr>
        <w:t xml:space="preserve"> in the ruling</w:t>
      </w:r>
      <w:r>
        <w:rPr>
          <w:rFonts w:cs="Arial"/>
          <w:sz w:val="26"/>
          <w:szCs w:val="26"/>
        </w:rPr>
        <w:t xml:space="preserve"> indicating whether the legacy cryptocurrency</w:t>
      </w:r>
      <w:r w:rsidR="007B658C">
        <w:rPr>
          <w:rFonts w:cs="Arial"/>
          <w:sz w:val="26"/>
          <w:szCs w:val="26"/>
        </w:rPr>
        <w:t>, R,</w:t>
      </w:r>
      <w:r>
        <w:rPr>
          <w:rFonts w:cs="Arial"/>
          <w:sz w:val="26"/>
          <w:szCs w:val="26"/>
        </w:rPr>
        <w:t xml:space="preserve"> either </w:t>
      </w:r>
      <w:r w:rsidR="008E64CA">
        <w:rPr>
          <w:rFonts w:cs="Arial"/>
          <w:sz w:val="26"/>
          <w:szCs w:val="26"/>
        </w:rPr>
        <w:t xml:space="preserve">(1) </w:t>
      </w:r>
      <w:r>
        <w:rPr>
          <w:rFonts w:cs="Arial"/>
          <w:sz w:val="26"/>
          <w:szCs w:val="26"/>
        </w:rPr>
        <w:t>lost value as a result of the airdrop of the new cryptocurrency,</w:t>
      </w:r>
      <w:r w:rsidR="00602F13">
        <w:rPr>
          <w:rFonts w:cs="Arial"/>
          <w:sz w:val="26"/>
          <w:szCs w:val="26"/>
        </w:rPr>
        <w:t xml:space="preserve"> or </w:t>
      </w:r>
      <w:r w:rsidR="008E64CA">
        <w:rPr>
          <w:rFonts w:cs="Arial"/>
          <w:sz w:val="26"/>
          <w:szCs w:val="26"/>
        </w:rPr>
        <w:t xml:space="preserve">(2) </w:t>
      </w:r>
      <w:r w:rsidR="00602F13">
        <w:rPr>
          <w:rFonts w:cs="Arial"/>
          <w:sz w:val="26"/>
          <w:szCs w:val="26"/>
        </w:rPr>
        <w:t>whether</w:t>
      </w:r>
      <w:r>
        <w:rPr>
          <w:rFonts w:cs="Arial"/>
          <w:sz w:val="26"/>
          <w:szCs w:val="26"/>
        </w:rPr>
        <w:t xml:space="preserve"> its value remained static after the air drop</w:t>
      </w:r>
      <w:r w:rsidR="00602F13">
        <w:rPr>
          <w:rFonts w:cs="Arial"/>
          <w:sz w:val="26"/>
          <w:szCs w:val="26"/>
        </w:rPr>
        <w:t>,</w:t>
      </w:r>
      <w:r>
        <w:rPr>
          <w:rFonts w:cs="Arial"/>
          <w:sz w:val="26"/>
          <w:szCs w:val="26"/>
        </w:rPr>
        <w:t xml:space="preserve"> or </w:t>
      </w:r>
      <w:r w:rsidR="008E64CA">
        <w:rPr>
          <w:rFonts w:cs="Arial"/>
          <w:sz w:val="26"/>
          <w:szCs w:val="26"/>
        </w:rPr>
        <w:t xml:space="preserve">(3) </w:t>
      </w:r>
      <w:r w:rsidR="00602F13">
        <w:rPr>
          <w:rFonts w:cs="Arial"/>
          <w:sz w:val="26"/>
          <w:szCs w:val="26"/>
        </w:rPr>
        <w:t xml:space="preserve">whether </w:t>
      </w:r>
      <w:r>
        <w:rPr>
          <w:rFonts w:cs="Arial"/>
          <w:sz w:val="26"/>
          <w:szCs w:val="26"/>
        </w:rPr>
        <w:t>it actually had an increase in value</w:t>
      </w:r>
      <w:r w:rsidR="00602F13">
        <w:rPr>
          <w:rFonts w:cs="Arial"/>
          <w:sz w:val="26"/>
          <w:szCs w:val="26"/>
        </w:rPr>
        <w:t xml:space="preserve"> after the air drop</w:t>
      </w:r>
      <w:r>
        <w:rPr>
          <w:rFonts w:cs="Arial"/>
          <w:sz w:val="26"/>
          <w:szCs w:val="26"/>
        </w:rPr>
        <w:t xml:space="preserve">. Despite the seemingly powerful citation </w:t>
      </w:r>
      <w:r w:rsidR="008E64CA">
        <w:rPr>
          <w:rFonts w:cs="Arial"/>
          <w:sz w:val="26"/>
          <w:szCs w:val="26"/>
        </w:rPr>
        <w:t xml:space="preserve">in the ruling’s analysis </w:t>
      </w:r>
      <w:r>
        <w:rPr>
          <w:rFonts w:cs="Arial"/>
          <w:sz w:val="26"/>
          <w:szCs w:val="26"/>
        </w:rPr>
        <w:t xml:space="preserve">to </w:t>
      </w:r>
      <w:r>
        <w:rPr>
          <w:rFonts w:cs="Arial"/>
          <w:i/>
          <w:iCs/>
          <w:sz w:val="26"/>
          <w:szCs w:val="26"/>
        </w:rPr>
        <w:t xml:space="preserve">Glenshaw Glass, </w:t>
      </w:r>
      <w:r>
        <w:rPr>
          <w:rFonts w:cs="Arial"/>
          <w:sz w:val="26"/>
          <w:szCs w:val="26"/>
        </w:rPr>
        <w:t>that case involved punitive damages that clearly was an accession to wealth</w:t>
      </w:r>
      <w:r w:rsidR="00602F13">
        <w:rPr>
          <w:rFonts w:cs="Arial"/>
          <w:sz w:val="26"/>
          <w:szCs w:val="26"/>
        </w:rPr>
        <w:t xml:space="preserve"> under the facts of the case</w:t>
      </w:r>
      <w:r>
        <w:rPr>
          <w:rFonts w:cs="Arial"/>
          <w:sz w:val="26"/>
          <w:szCs w:val="26"/>
        </w:rPr>
        <w:t xml:space="preserve">. </w:t>
      </w:r>
      <w:r w:rsidR="002E342A">
        <w:rPr>
          <w:rFonts w:cs="Arial"/>
          <w:sz w:val="26"/>
          <w:szCs w:val="26"/>
        </w:rPr>
        <w:t>However, in the case of a stock dividend</w:t>
      </w:r>
      <w:r w:rsidR="008E64CA">
        <w:rPr>
          <w:rFonts w:cs="Arial"/>
          <w:sz w:val="26"/>
          <w:szCs w:val="26"/>
        </w:rPr>
        <w:t xml:space="preserve"> or a return of capital</w:t>
      </w:r>
      <w:r w:rsidR="002E342A">
        <w:rPr>
          <w:rFonts w:cs="Arial"/>
          <w:sz w:val="26"/>
          <w:szCs w:val="26"/>
        </w:rPr>
        <w:t xml:space="preserve">, </w:t>
      </w:r>
      <w:r w:rsidR="002E342A">
        <w:rPr>
          <w:rFonts w:cs="Arial"/>
          <w:i/>
          <w:iCs/>
          <w:sz w:val="26"/>
          <w:szCs w:val="26"/>
        </w:rPr>
        <w:t xml:space="preserve">Eisner v. McComber, </w:t>
      </w:r>
      <w:r w:rsidR="00BE4FBB">
        <w:rPr>
          <w:rFonts w:cs="Arial"/>
          <w:sz w:val="26"/>
          <w:szCs w:val="26"/>
        </w:rPr>
        <w:t xml:space="preserve">252 U.S. </w:t>
      </w:r>
      <w:r w:rsidR="00EA590B">
        <w:rPr>
          <w:rFonts w:cs="Arial"/>
          <w:sz w:val="26"/>
          <w:szCs w:val="26"/>
        </w:rPr>
        <w:t xml:space="preserve">189 (1920), </w:t>
      </w:r>
      <w:r w:rsidR="009C5585">
        <w:rPr>
          <w:rFonts w:cs="Arial"/>
          <w:sz w:val="26"/>
          <w:szCs w:val="26"/>
        </w:rPr>
        <w:t>the distribution is viewed as akin to a return of capital and not as a return on capital.</w:t>
      </w:r>
      <w:r w:rsidR="00443030">
        <w:rPr>
          <w:rFonts w:cs="Arial"/>
          <w:sz w:val="26"/>
          <w:szCs w:val="26"/>
        </w:rPr>
        <w:t xml:space="preserve"> The former is a capital transaction. The latter is an income transaction.</w:t>
      </w:r>
    </w:p>
    <w:p w14:paraId="5E987B3A" w14:textId="77777777" w:rsidR="009678F3" w:rsidRDefault="009678F3" w:rsidP="0081533F">
      <w:pPr>
        <w:pStyle w:val="FootnoteText"/>
        <w:spacing w:line="276" w:lineRule="auto"/>
        <w:ind w:left="432" w:right="432"/>
        <w:rPr>
          <w:rFonts w:cs="Arial"/>
          <w:sz w:val="26"/>
          <w:szCs w:val="26"/>
        </w:rPr>
      </w:pPr>
    </w:p>
    <w:p w14:paraId="470CF738" w14:textId="093F6107" w:rsidR="00702396" w:rsidRDefault="009678F3" w:rsidP="0081533F">
      <w:pPr>
        <w:pStyle w:val="FootnoteText"/>
        <w:spacing w:line="276" w:lineRule="auto"/>
        <w:ind w:left="432" w:right="432"/>
        <w:rPr>
          <w:rFonts w:cs="Arial"/>
          <w:sz w:val="26"/>
          <w:szCs w:val="26"/>
        </w:rPr>
      </w:pPr>
      <w:r>
        <w:rPr>
          <w:rFonts w:cs="Arial"/>
          <w:sz w:val="26"/>
          <w:szCs w:val="26"/>
        </w:rPr>
        <w:t xml:space="preserve">● </w:t>
      </w:r>
      <w:r w:rsidR="00FD327F">
        <w:rPr>
          <w:rFonts w:cs="Arial"/>
          <w:sz w:val="26"/>
          <w:szCs w:val="26"/>
        </w:rPr>
        <w:t>Isn’t it true that one needs to know the effect of the air drop on the legacy cryptocurrency</w:t>
      </w:r>
      <w:r w:rsidR="007B658C">
        <w:rPr>
          <w:rFonts w:cs="Arial"/>
          <w:sz w:val="26"/>
          <w:szCs w:val="26"/>
        </w:rPr>
        <w:t>, R,</w:t>
      </w:r>
      <w:r w:rsidR="00FD327F">
        <w:rPr>
          <w:rFonts w:cs="Arial"/>
          <w:sz w:val="26"/>
          <w:szCs w:val="26"/>
        </w:rPr>
        <w:t xml:space="preserve"> before one concludes there is an accession to wealth</w:t>
      </w:r>
      <w:r>
        <w:rPr>
          <w:rFonts w:cs="Arial"/>
          <w:sz w:val="26"/>
          <w:szCs w:val="26"/>
        </w:rPr>
        <w:t xml:space="preserve"> on the distribution of </w:t>
      </w:r>
      <w:r w:rsidR="007B658C">
        <w:rPr>
          <w:rFonts w:cs="Arial"/>
          <w:sz w:val="26"/>
          <w:szCs w:val="26"/>
        </w:rPr>
        <w:t xml:space="preserve">S, </w:t>
      </w:r>
      <w:r>
        <w:rPr>
          <w:rFonts w:cs="Arial"/>
          <w:sz w:val="26"/>
          <w:szCs w:val="26"/>
        </w:rPr>
        <w:t>the new cryptocurrency</w:t>
      </w:r>
      <w:r w:rsidR="00FD327F">
        <w:rPr>
          <w:rFonts w:cs="Arial"/>
          <w:sz w:val="26"/>
          <w:szCs w:val="26"/>
        </w:rPr>
        <w:t>? After all, if in the ruling the legacy cryptocurrency</w:t>
      </w:r>
      <w:r w:rsidR="007B658C">
        <w:rPr>
          <w:rFonts w:cs="Arial"/>
          <w:sz w:val="26"/>
          <w:szCs w:val="26"/>
        </w:rPr>
        <w:t>, R,</w:t>
      </w:r>
      <w:r w:rsidR="00FD327F">
        <w:rPr>
          <w:rFonts w:cs="Arial"/>
          <w:sz w:val="26"/>
          <w:szCs w:val="26"/>
        </w:rPr>
        <w:t xml:space="preserve"> declined in value in an amount equal to the </w:t>
      </w:r>
      <w:r w:rsidR="005C418E">
        <w:rPr>
          <w:rFonts w:cs="Arial"/>
          <w:sz w:val="26"/>
          <w:szCs w:val="26"/>
        </w:rPr>
        <w:t xml:space="preserve">fair market </w:t>
      </w:r>
      <w:r w:rsidR="00FD327F">
        <w:rPr>
          <w:rFonts w:cs="Arial"/>
          <w:sz w:val="26"/>
          <w:szCs w:val="26"/>
        </w:rPr>
        <w:t>value of the air dropped new cryptocurrency,</w:t>
      </w:r>
      <w:r w:rsidR="007B658C">
        <w:rPr>
          <w:rFonts w:cs="Arial"/>
          <w:sz w:val="26"/>
          <w:szCs w:val="26"/>
        </w:rPr>
        <w:t xml:space="preserve"> S,</w:t>
      </w:r>
      <w:r w:rsidR="00FD327F">
        <w:rPr>
          <w:rFonts w:cs="Arial"/>
          <w:sz w:val="26"/>
          <w:szCs w:val="26"/>
        </w:rPr>
        <w:t xml:space="preserve"> th</w:t>
      </w:r>
      <w:r w:rsidR="005C418E">
        <w:rPr>
          <w:rFonts w:cs="Arial"/>
          <w:sz w:val="26"/>
          <w:szCs w:val="26"/>
        </w:rPr>
        <w:t>en</w:t>
      </w:r>
      <w:r w:rsidR="00FD327F">
        <w:rPr>
          <w:rFonts w:cs="Arial"/>
          <w:sz w:val="26"/>
          <w:szCs w:val="26"/>
        </w:rPr>
        <w:t xml:space="preserve"> the distribution would more properly be viewed as a return of capital and not as an accession to wealth?</w:t>
      </w:r>
    </w:p>
    <w:p w14:paraId="1D6AFEEA" w14:textId="2CC21D84" w:rsidR="00FD327F" w:rsidRDefault="00FD327F" w:rsidP="0081533F">
      <w:pPr>
        <w:pStyle w:val="FootnoteText"/>
        <w:spacing w:line="276" w:lineRule="auto"/>
        <w:ind w:left="432" w:right="432"/>
        <w:rPr>
          <w:rFonts w:cs="Arial"/>
          <w:sz w:val="26"/>
          <w:szCs w:val="26"/>
        </w:rPr>
      </w:pPr>
    </w:p>
    <w:p w14:paraId="2DF327DF" w14:textId="748850CE" w:rsidR="00FD327F" w:rsidRDefault="00AC17F6" w:rsidP="0081533F">
      <w:pPr>
        <w:pStyle w:val="FootnoteText"/>
        <w:spacing w:line="276" w:lineRule="auto"/>
        <w:ind w:left="432" w:right="432"/>
        <w:rPr>
          <w:rFonts w:cs="Arial"/>
          <w:sz w:val="26"/>
          <w:szCs w:val="26"/>
        </w:rPr>
      </w:pPr>
      <w:r>
        <w:rPr>
          <w:rFonts w:cs="Arial"/>
          <w:sz w:val="26"/>
          <w:szCs w:val="26"/>
        </w:rPr>
        <w:t xml:space="preserve">● The facts of the ruling give no indication of what the taxpayer did or did not do to receive the new </w:t>
      </w:r>
      <w:r w:rsidR="007B658C">
        <w:rPr>
          <w:rFonts w:cs="Arial"/>
          <w:sz w:val="26"/>
          <w:szCs w:val="26"/>
        </w:rPr>
        <w:t xml:space="preserve">S </w:t>
      </w:r>
      <w:r>
        <w:rPr>
          <w:rFonts w:cs="Arial"/>
          <w:sz w:val="26"/>
          <w:szCs w:val="26"/>
        </w:rPr>
        <w:t>cryptocurrency</w:t>
      </w:r>
      <w:r w:rsidR="007F6283">
        <w:rPr>
          <w:rFonts w:cs="Arial"/>
          <w:sz w:val="26"/>
          <w:szCs w:val="26"/>
        </w:rPr>
        <w:t>; i.e., was there a quid pro quo or not?</w:t>
      </w:r>
      <w:r>
        <w:rPr>
          <w:rFonts w:cs="Arial"/>
          <w:sz w:val="26"/>
          <w:szCs w:val="26"/>
        </w:rPr>
        <w:t xml:space="preserve"> </w:t>
      </w:r>
      <w:r w:rsidR="00CA6525">
        <w:rPr>
          <w:rFonts w:cs="Arial"/>
          <w:sz w:val="26"/>
          <w:szCs w:val="26"/>
        </w:rPr>
        <w:t xml:space="preserve">If the distribution had been because of a gift for income tax purposes </w:t>
      </w:r>
      <w:r w:rsidR="00FE2B0A">
        <w:rPr>
          <w:rFonts w:cs="Arial"/>
          <w:sz w:val="26"/>
          <w:szCs w:val="26"/>
        </w:rPr>
        <w:t xml:space="preserve">factually </w:t>
      </w:r>
      <w:r w:rsidR="00CA6525">
        <w:rPr>
          <w:rFonts w:cs="Arial"/>
          <w:sz w:val="26"/>
          <w:szCs w:val="26"/>
        </w:rPr>
        <w:t xml:space="preserve">arising from </w:t>
      </w:r>
      <w:r w:rsidR="00FE2B0A">
        <w:rPr>
          <w:rFonts w:cs="Arial"/>
          <w:sz w:val="26"/>
          <w:szCs w:val="26"/>
        </w:rPr>
        <w:t>“</w:t>
      </w:r>
      <w:r w:rsidR="00CA6525">
        <w:rPr>
          <w:rFonts w:cs="Arial"/>
          <w:sz w:val="26"/>
          <w:szCs w:val="26"/>
        </w:rPr>
        <w:t xml:space="preserve">detached </w:t>
      </w:r>
      <w:r w:rsidR="00FE2B0A">
        <w:rPr>
          <w:rFonts w:cs="Arial"/>
          <w:sz w:val="26"/>
          <w:szCs w:val="26"/>
        </w:rPr>
        <w:t xml:space="preserve">and disinterested </w:t>
      </w:r>
      <w:r w:rsidR="00CA6525">
        <w:rPr>
          <w:rFonts w:cs="Arial"/>
          <w:sz w:val="26"/>
          <w:szCs w:val="26"/>
        </w:rPr>
        <w:t>generosity</w:t>
      </w:r>
      <w:r w:rsidR="00FE2B0A">
        <w:rPr>
          <w:rFonts w:cs="Arial"/>
          <w:sz w:val="26"/>
          <w:szCs w:val="26"/>
        </w:rPr>
        <w:t>”</w:t>
      </w:r>
      <w:r w:rsidR="00CA6525">
        <w:rPr>
          <w:rFonts w:cs="Arial"/>
          <w:sz w:val="26"/>
          <w:szCs w:val="26"/>
        </w:rPr>
        <w:t xml:space="preserve">, </w:t>
      </w:r>
      <w:r w:rsidR="00335E03">
        <w:rPr>
          <w:rFonts w:cs="Arial"/>
          <w:i/>
          <w:iCs/>
          <w:sz w:val="26"/>
          <w:szCs w:val="26"/>
        </w:rPr>
        <w:t xml:space="preserve">Commissioner v. Duberstein, </w:t>
      </w:r>
      <w:r w:rsidR="000A38D5">
        <w:rPr>
          <w:rFonts w:cs="Arial"/>
          <w:sz w:val="26"/>
          <w:szCs w:val="26"/>
        </w:rPr>
        <w:t>363 U.S. 278 (1960)</w:t>
      </w:r>
      <w:r w:rsidR="00F87030">
        <w:rPr>
          <w:rFonts w:cs="Arial"/>
          <w:sz w:val="26"/>
          <w:szCs w:val="26"/>
        </w:rPr>
        <w:t xml:space="preserve">, then wouldn’t that </w:t>
      </w:r>
      <w:r w:rsidR="00F87030">
        <w:rPr>
          <w:rFonts w:cs="Arial"/>
          <w:sz w:val="26"/>
          <w:szCs w:val="26"/>
        </w:rPr>
        <w:lastRenderedPageBreak/>
        <w:t>have been a non-</w:t>
      </w:r>
      <w:r w:rsidR="0085303F">
        <w:rPr>
          <w:rFonts w:cs="Arial"/>
          <w:sz w:val="26"/>
          <w:szCs w:val="26"/>
        </w:rPr>
        <w:t>taxable gift under section 102</w:t>
      </w:r>
      <w:r w:rsidR="00B33933">
        <w:rPr>
          <w:rFonts w:cs="Arial"/>
          <w:sz w:val="26"/>
          <w:szCs w:val="26"/>
        </w:rPr>
        <w:t xml:space="preserve"> and not gross income under section 61</w:t>
      </w:r>
      <w:r w:rsidR="0085303F">
        <w:rPr>
          <w:rFonts w:cs="Arial"/>
          <w:sz w:val="26"/>
          <w:szCs w:val="26"/>
        </w:rPr>
        <w:t>?</w:t>
      </w:r>
    </w:p>
    <w:p w14:paraId="50C25382" w14:textId="4A0A8A9A" w:rsidR="0085303F" w:rsidRDefault="0085303F" w:rsidP="0081533F">
      <w:pPr>
        <w:pStyle w:val="FootnoteText"/>
        <w:spacing w:line="276" w:lineRule="auto"/>
        <w:ind w:left="432" w:right="432"/>
        <w:rPr>
          <w:rFonts w:cs="Arial"/>
          <w:sz w:val="26"/>
          <w:szCs w:val="26"/>
        </w:rPr>
      </w:pPr>
    </w:p>
    <w:p w14:paraId="2B66F9F9" w14:textId="387C71E2" w:rsidR="00F45EA7" w:rsidRDefault="0085303F" w:rsidP="0081533F">
      <w:pPr>
        <w:pStyle w:val="FootnoteText"/>
        <w:spacing w:line="276" w:lineRule="auto"/>
        <w:ind w:left="432" w:right="432"/>
        <w:rPr>
          <w:rFonts w:cs="Arial"/>
          <w:sz w:val="26"/>
          <w:szCs w:val="26"/>
        </w:rPr>
      </w:pPr>
      <w:r>
        <w:rPr>
          <w:rFonts w:cs="Arial"/>
          <w:sz w:val="26"/>
          <w:szCs w:val="26"/>
        </w:rPr>
        <w:t>● The ruling inconsistently cites two separate provisions of section 61</w:t>
      </w:r>
      <w:r w:rsidR="00983655">
        <w:rPr>
          <w:rFonts w:cs="Arial"/>
          <w:sz w:val="26"/>
          <w:szCs w:val="26"/>
        </w:rPr>
        <w:t>. First, regulation §</w:t>
      </w:r>
      <w:r w:rsidR="00731F31">
        <w:rPr>
          <w:rFonts w:cs="Arial"/>
          <w:sz w:val="26"/>
          <w:szCs w:val="26"/>
        </w:rPr>
        <w:t>1.61-2(d)(2)(i) is cited and that provision relates to income from services</w:t>
      </w:r>
      <w:r w:rsidR="00B33E58">
        <w:rPr>
          <w:rFonts w:cs="Arial"/>
          <w:sz w:val="26"/>
          <w:szCs w:val="26"/>
        </w:rPr>
        <w:t xml:space="preserve"> under section 61(a)(1)</w:t>
      </w:r>
      <w:r w:rsidR="009146B9">
        <w:rPr>
          <w:rFonts w:cs="Arial"/>
          <w:sz w:val="26"/>
          <w:szCs w:val="26"/>
        </w:rPr>
        <w:t xml:space="preserve"> even though there are no facts in the ruling about any services being rendered</w:t>
      </w:r>
      <w:r w:rsidR="00731F31">
        <w:rPr>
          <w:rFonts w:cs="Arial"/>
          <w:sz w:val="26"/>
          <w:szCs w:val="26"/>
        </w:rPr>
        <w:t>. However, the ruling also cites section 61(a)(3)</w:t>
      </w:r>
      <w:r w:rsidR="00B33E58">
        <w:rPr>
          <w:rFonts w:cs="Arial"/>
          <w:sz w:val="26"/>
          <w:szCs w:val="26"/>
        </w:rPr>
        <w:t xml:space="preserve">, which relates to </w:t>
      </w:r>
      <w:r w:rsidR="00DB5749">
        <w:rPr>
          <w:rFonts w:cs="Arial"/>
          <w:sz w:val="26"/>
          <w:szCs w:val="26"/>
        </w:rPr>
        <w:t>gains derived from dealings in property. The relevant regulation for that provision, regulation §1.61-6</w:t>
      </w:r>
      <w:r w:rsidR="008E270D">
        <w:rPr>
          <w:rFonts w:cs="Arial"/>
          <w:sz w:val="26"/>
          <w:szCs w:val="26"/>
        </w:rPr>
        <w:t xml:space="preserve">, deals with gains from sales or exchanges of property. </w:t>
      </w:r>
      <w:r w:rsidR="00810A0D">
        <w:rPr>
          <w:rFonts w:cs="Arial"/>
          <w:sz w:val="26"/>
          <w:szCs w:val="26"/>
        </w:rPr>
        <w:t xml:space="preserve">There are no facts in the ruling dealing with sales or exchanges of property either. </w:t>
      </w:r>
      <w:r w:rsidR="008E270D">
        <w:rPr>
          <w:rFonts w:cs="Arial"/>
          <w:sz w:val="26"/>
          <w:szCs w:val="26"/>
        </w:rPr>
        <w:t xml:space="preserve">You could also add “accession to wealth” as interpreted in </w:t>
      </w:r>
      <w:r w:rsidR="008E270D">
        <w:rPr>
          <w:rFonts w:cs="Arial"/>
          <w:i/>
          <w:iCs/>
          <w:sz w:val="26"/>
          <w:szCs w:val="26"/>
        </w:rPr>
        <w:t xml:space="preserve">Glenshaw Glass, </w:t>
      </w:r>
      <w:r w:rsidR="008E270D">
        <w:rPr>
          <w:rFonts w:cs="Arial"/>
          <w:sz w:val="26"/>
          <w:szCs w:val="26"/>
        </w:rPr>
        <w:t>as a third section 61 category</w:t>
      </w:r>
      <w:r w:rsidR="00810A0D">
        <w:rPr>
          <w:rFonts w:cs="Arial"/>
          <w:sz w:val="26"/>
          <w:szCs w:val="26"/>
        </w:rPr>
        <w:t xml:space="preserve"> in the ruling</w:t>
      </w:r>
      <w:r w:rsidR="008E270D">
        <w:rPr>
          <w:rFonts w:cs="Arial"/>
          <w:sz w:val="26"/>
          <w:szCs w:val="26"/>
        </w:rPr>
        <w:t xml:space="preserve">. </w:t>
      </w:r>
    </w:p>
    <w:p w14:paraId="4B8D22B3" w14:textId="77777777" w:rsidR="00F45EA7" w:rsidRDefault="00F45EA7" w:rsidP="0081533F">
      <w:pPr>
        <w:pStyle w:val="FootnoteText"/>
        <w:spacing w:line="276" w:lineRule="auto"/>
        <w:ind w:left="432" w:right="432"/>
        <w:rPr>
          <w:rFonts w:cs="Arial"/>
          <w:sz w:val="26"/>
          <w:szCs w:val="26"/>
        </w:rPr>
      </w:pPr>
    </w:p>
    <w:p w14:paraId="0A188184" w14:textId="374A7ED2" w:rsidR="0081533F" w:rsidRDefault="00F45EA7" w:rsidP="0081533F">
      <w:pPr>
        <w:pStyle w:val="FootnoteText"/>
        <w:spacing w:line="276" w:lineRule="auto"/>
        <w:ind w:left="432" w:right="432"/>
        <w:rPr>
          <w:rFonts w:cs="Arial"/>
          <w:sz w:val="26"/>
          <w:szCs w:val="26"/>
        </w:rPr>
      </w:pPr>
      <w:r>
        <w:rPr>
          <w:rFonts w:cs="Arial"/>
          <w:sz w:val="26"/>
          <w:szCs w:val="26"/>
        </w:rPr>
        <w:t xml:space="preserve">● </w:t>
      </w:r>
      <w:r w:rsidR="007C74FC">
        <w:rPr>
          <w:rFonts w:cs="Arial"/>
          <w:sz w:val="26"/>
          <w:szCs w:val="26"/>
        </w:rPr>
        <w:t xml:space="preserve">And so, since there are no facts indicating a sale or exchange and the air drop could not be </w:t>
      </w:r>
      <w:r w:rsidR="00D54AAC">
        <w:rPr>
          <w:rFonts w:cs="Arial"/>
          <w:sz w:val="26"/>
          <w:szCs w:val="26"/>
        </w:rPr>
        <w:t>such an exchange based on the facts of the ruling</w:t>
      </w:r>
      <w:r w:rsidR="007C74FC">
        <w:rPr>
          <w:rFonts w:cs="Arial"/>
          <w:sz w:val="26"/>
          <w:szCs w:val="26"/>
        </w:rPr>
        <w:t xml:space="preserve">, </w:t>
      </w:r>
      <w:r w:rsidR="00AA671F">
        <w:rPr>
          <w:rFonts w:cs="Arial"/>
          <w:sz w:val="26"/>
          <w:szCs w:val="26"/>
        </w:rPr>
        <w:t xml:space="preserve">and there are no facts indicated compensation for services rendered, </w:t>
      </w:r>
      <w:r w:rsidR="007C74FC">
        <w:rPr>
          <w:rFonts w:cs="Arial"/>
          <w:sz w:val="26"/>
          <w:szCs w:val="26"/>
        </w:rPr>
        <w:t xml:space="preserve">was the inclusion </w:t>
      </w:r>
      <w:r w:rsidR="00D54AAC">
        <w:rPr>
          <w:rFonts w:cs="Arial"/>
          <w:sz w:val="26"/>
          <w:szCs w:val="26"/>
        </w:rPr>
        <w:t xml:space="preserve">in gross income </w:t>
      </w:r>
      <w:r w:rsidR="00AA671F">
        <w:rPr>
          <w:rFonts w:cs="Arial"/>
          <w:sz w:val="26"/>
          <w:szCs w:val="26"/>
        </w:rPr>
        <w:t xml:space="preserve">in the ruling </w:t>
      </w:r>
      <w:r w:rsidR="0081533F">
        <w:rPr>
          <w:rFonts w:cs="Arial"/>
          <w:sz w:val="26"/>
          <w:szCs w:val="26"/>
        </w:rPr>
        <w:t xml:space="preserve">(1) </w:t>
      </w:r>
      <w:r w:rsidR="007C74FC">
        <w:rPr>
          <w:rFonts w:cs="Arial"/>
          <w:sz w:val="26"/>
          <w:szCs w:val="26"/>
        </w:rPr>
        <w:t xml:space="preserve">for services, </w:t>
      </w:r>
      <w:r>
        <w:rPr>
          <w:rFonts w:cs="Arial"/>
          <w:sz w:val="26"/>
          <w:szCs w:val="26"/>
        </w:rPr>
        <w:t xml:space="preserve">or </w:t>
      </w:r>
      <w:r w:rsidR="0081533F">
        <w:rPr>
          <w:rFonts w:cs="Arial"/>
          <w:sz w:val="26"/>
          <w:szCs w:val="26"/>
        </w:rPr>
        <w:t xml:space="preserve">(2) </w:t>
      </w:r>
      <w:r w:rsidR="00AA671F">
        <w:rPr>
          <w:rFonts w:cs="Arial"/>
          <w:sz w:val="26"/>
          <w:szCs w:val="26"/>
        </w:rPr>
        <w:t xml:space="preserve">due to a sale or exchange of property, or (3) </w:t>
      </w:r>
      <w:r w:rsidR="00D54AAC">
        <w:rPr>
          <w:rFonts w:cs="Arial"/>
          <w:sz w:val="26"/>
          <w:szCs w:val="26"/>
        </w:rPr>
        <w:t xml:space="preserve">was it a non-taxable </w:t>
      </w:r>
      <w:r w:rsidR="007C74FC">
        <w:rPr>
          <w:rFonts w:cs="Arial"/>
          <w:sz w:val="26"/>
          <w:szCs w:val="26"/>
        </w:rPr>
        <w:t>gift</w:t>
      </w:r>
      <w:r w:rsidR="0081533F">
        <w:rPr>
          <w:rFonts w:cs="Arial"/>
          <w:sz w:val="26"/>
          <w:szCs w:val="26"/>
        </w:rPr>
        <w:t>,</w:t>
      </w:r>
      <w:r w:rsidR="007C74FC">
        <w:rPr>
          <w:rFonts w:cs="Arial"/>
          <w:sz w:val="26"/>
          <w:szCs w:val="26"/>
        </w:rPr>
        <w:t xml:space="preserve"> or </w:t>
      </w:r>
      <w:r w:rsidR="0081533F">
        <w:rPr>
          <w:rFonts w:cs="Arial"/>
          <w:sz w:val="26"/>
          <w:szCs w:val="26"/>
        </w:rPr>
        <w:t>(</w:t>
      </w:r>
      <w:r w:rsidR="00AA671F">
        <w:rPr>
          <w:rFonts w:cs="Arial"/>
          <w:sz w:val="26"/>
          <w:szCs w:val="26"/>
        </w:rPr>
        <w:t>4</w:t>
      </w:r>
      <w:r w:rsidR="0081533F">
        <w:rPr>
          <w:rFonts w:cs="Arial"/>
          <w:sz w:val="26"/>
          <w:szCs w:val="26"/>
        </w:rPr>
        <w:t xml:space="preserve">) </w:t>
      </w:r>
      <w:r w:rsidR="00D54AAC">
        <w:rPr>
          <w:rFonts w:cs="Arial"/>
          <w:sz w:val="26"/>
          <w:szCs w:val="26"/>
        </w:rPr>
        <w:t xml:space="preserve">was it, as the ruling posits, </w:t>
      </w:r>
      <w:r w:rsidR="007C74FC">
        <w:rPr>
          <w:rFonts w:cs="Arial"/>
          <w:sz w:val="26"/>
          <w:szCs w:val="26"/>
        </w:rPr>
        <w:t xml:space="preserve">just an accession to wealth for no reason whatsoever? </w:t>
      </w:r>
    </w:p>
    <w:p w14:paraId="0E2A28AB" w14:textId="77777777" w:rsidR="0081533F" w:rsidRDefault="0081533F" w:rsidP="0081533F">
      <w:pPr>
        <w:pStyle w:val="FootnoteText"/>
        <w:spacing w:line="276" w:lineRule="auto"/>
        <w:ind w:left="432" w:right="432"/>
        <w:rPr>
          <w:rFonts w:cs="Arial"/>
          <w:sz w:val="26"/>
          <w:szCs w:val="26"/>
        </w:rPr>
      </w:pPr>
    </w:p>
    <w:p w14:paraId="27AED860" w14:textId="434D8878" w:rsidR="00FD327F" w:rsidRDefault="0081533F" w:rsidP="0081533F">
      <w:pPr>
        <w:pStyle w:val="FootnoteText"/>
        <w:spacing w:line="276" w:lineRule="auto"/>
        <w:ind w:left="432" w:right="432"/>
        <w:rPr>
          <w:rFonts w:cs="Arial"/>
          <w:sz w:val="26"/>
          <w:szCs w:val="26"/>
        </w:rPr>
      </w:pPr>
      <w:r>
        <w:rPr>
          <w:rFonts w:cs="Arial"/>
          <w:sz w:val="26"/>
          <w:szCs w:val="26"/>
        </w:rPr>
        <w:t xml:space="preserve">● </w:t>
      </w:r>
      <w:r w:rsidR="00E94472">
        <w:rPr>
          <w:rFonts w:cs="Arial"/>
          <w:sz w:val="26"/>
          <w:szCs w:val="26"/>
        </w:rPr>
        <w:t xml:space="preserve">Further, in </w:t>
      </w:r>
      <w:r w:rsidR="00E94472">
        <w:rPr>
          <w:rFonts w:cs="Arial"/>
          <w:i/>
          <w:iCs/>
          <w:sz w:val="26"/>
          <w:szCs w:val="26"/>
        </w:rPr>
        <w:t xml:space="preserve">Palmer, </w:t>
      </w:r>
      <w:r w:rsidR="00E94472">
        <w:rPr>
          <w:rFonts w:cs="Arial"/>
          <w:sz w:val="26"/>
          <w:szCs w:val="26"/>
        </w:rPr>
        <w:t>302 U.S. 63 (1937)</w:t>
      </w:r>
      <w:r w:rsidR="001871A8">
        <w:rPr>
          <w:rFonts w:cs="Arial"/>
          <w:sz w:val="26"/>
          <w:szCs w:val="26"/>
        </w:rPr>
        <w:t>, the court looked to the reason for a bargain purchase in determining whether the purchasers of the property</w:t>
      </w:r>
      <w:r w:rsidR="00D3211A">
        <w:rPr>
          <w:rFonts w:cs="Arial"/>
          <w:sz w:val="26"/>
          <w:szCs w:val="26"/>
        </w:rPr>
        <w:t xml:space="preserve"> from a corporation in which they were shareholders</w:t>
      </w:r>
      <w:r w:rsidR="001871A8">
        <w:rPr>
          <w:rFonts w:cs="Arial"/>
          <w:sz w:val="26"/>
          <w:szCs w:val="26"/>
        </w:rPr>
        <w:t xml:space="preserve"> received a taxable corporate dividend</w:t>
      </w:r>
      <w:r>
        <w:rPr>
          <w:rFonts w:cs="Arial"/>
          <w:sz w:val="26"/>
          <w:szCs w:val="26"/>
        </w:rPr>
        <w:t xml:space="preserve"> under sections 61 and 301 (or their predecessors), </w:t>
      </w:r>
      <w:r w:rsidR="001871A8">
        <w:rPr>
          <w:rFonts w:cs="Arial"/>
          <w:sz w:val="26"/>
          <w:szCs w:val="26"/>
        </w:rPr>
        <w:t xml:space="preserve"> or merely made a purchase of property which would have to await a later sale</w:t>
      </w:r>
      <w:r w:rsidR="00D54AAC">
        <w:rPr>
          <w:rFonts w:cs="Arial"/>
          <w:sz w:val="26"/>
          <w:szCs w:val="26"/>
        </w:rPr>
        <w:t xml:space="preserve"> by the shareholder</w:t>
      </w:r>
      <w:r>
        <w:rPr>
          <w:rFonts w:cs="Arial"/>
          <w:sz w:val="26"/>
          <w:szCs w:val="26"/>
        </w:rPr>
        <w:t>s</w:t>
      </w:r>
      <w:r w:rsidR="001871A8">
        <w:rPr>
          <w:rFonts w:cs="Arial"/>
          <w:sz w:val="26"/>
          <w:szCs w:val="26"/>
        </w:rPr>
        <w:t xml:space="preserve"> to be taxable. </w:t>
      </w:r>
      <w:r w:rsidR="00122BCE">
        <w:rPr>
          <w:rFonts w:cs="Arial"/>
          <w:sz w:val="26"/>
          <w:szCs w:val="26"/>
        </w:rPr>
        <w:t>See and compare regulation §1.301-1</w:t>
      </w:r>
      <w:r w:rsidR="002B5D51">
        <w:rPr>
          <w:rFonts w:cs="Arial"/>
          <w:sz w:val="26"/>
          <w:szCs w:val="26"/>
        </w:rPr>
        <w:t>(l)</w:t>
      </w:r>
      <w:r w:rsidR="009C0835">
        <w:rPr>
          <w:rFonts w:cs="Arial"/>
          <w:sz w:val="26"/>
          <w:szCs w:val="26"/>
        </w:rPr>
        <w:t xml:space="preserve"> (transfers for less than fair market value by a corporation to a shareholder). </w:t>
      </w:r>
    </w:p>
    <w:p w14:paraId="42AFDFE0" w14:textId="77777777" w:rsidR="0081533F" w:rsidRDefault="0081533F" w:rsidP="0081533F">
      <w:pPr>
        <w:pStyle w:val="FootnoteText"/>
        <w:spacing w:line="276" w:lineRule="auto"/>
        <w:ind w:left="432" w:right="432"/>
        <w:rPr>
          <w:rFonts w:cs="Arial"/>
          <w:sz w:val="26"/>
          <w:szCs w:val="26"/>
        </w:rPr>
      </w:pPr>
    </w:p>
    <w:p w14:paraId="11E6E4D5" w14:textId="61E5673D" w:rsidR="00D54AAC" w:rsidRDefault="00D54AAC" w:rsidP="00702396">
      <w:pPr>
        <w:pStyle w:val="FootnoteText"/>
        <w:spacing w:line="276" w:lineRule="auto"/>
        <w:rPr>
          <w:rFonts w:cs="Arial"/>
          <w:sz w:val="26"/>
          <w:szCs w:val="26"/>
        </w:rPr>
      </w:pPr>
    </w:p>
    <w:p w14:paraId="38B68147" w14:textId="6C1A32D5" w:rsidR="00D54AAC" w:rsidRDefault="00D54AAC" w:rsidP="00D54AAC">
      <w:pPr>
        <w:pStyle w:val="FootnoteText"/>
        <w:spacing w:line="276" w:lineRule="auto"/>
        <w:rPr>
          <w:rFonts w:cs="Arial"/>
          <w:sz w:val="26"/>
          <w:szCs w:val="26"/>
        </w:rPr>
      </w:pPr>
      <w:r>
        <w:rPr>
          <w:rFonts w:cs="Arial"/>
          <w:sz w:val="26"/>
          <w:szCs w:val="26"/>
        </w:rPr>
        <w:t xml:space="preserve">If I was a law professor grading a student paper in the form of the ruling, </w:t>
      </w:r>
      <w:r w:rsidR="008F3E62">
        <w:rPr>
          <w:rFonts w:cs="Arial"/>
          <w:sz w:val="26"/>
          <w:szCs w:val="26"/>
        </w:rPr>
        <w:t xml:space="preserve">the ruling would fall well below an A. Better than an F, </w:t>
      </w:r>
      <w:r w:rsidR="000C0415">
        <w:rPr>
          <w:rFonts w:cs="Arial"/>
          <w:sz w:val="26"/>
          <w:szCs w:val="26"/>
        </w:rPr>
        <w:t xml:space="preserve">maybe a C or D, </w:t>
      </w:r>
      <w:r w:rsidR="008F3E62">
        <w:rPr>
          <w:rFonts w:cs="Arial"/>
          <w:sz w:val="26"/>
          <w:szCs w:val="26"/>
        </w:rPr>
        <w:t xml:space="preserve">but not that much better. </w:t>
      </w:r>
      <w:proofErr w:type="gramStart"/>
      <w:r w:rsidR="00690478">
        <w:rPr>
          <w:rFonts w:cs="Arial"/>
          <w:sz w:val="26"/>
          <w:szCs w:val="26"/>
        </w:rPr>
        <w:t>But,</w:t>
      </w:r>
      <w:proofErr w:type="gramEnd"/>
      <w:r w:rsidR="00690478">
        <w:rPr>
          <w:rFonts w:cs="Arial"/>
          <w:sz w:val="26"/>
          <w:szCs w:val="26"/>
        </w:rPr>
        <w:t xml:space="preserve"> I am a hard grader</w:t>
      </w:r>
      <w:r w:rsidR="007B0862">
        <w:rPr>
          <w:rFonts w:cs="Arial"/>
          <w:sz w:val="26"/>
          <w:szCs w:val="26"/>
        </w:rPr>
        <w:t>, which is probably why no rational student would want me as a professor.</w:t>
      </w:r>
    </w:p>
    <w:p w14:paraId="64BE53D9" w14:textId="74A38F2F" w:rsidR="005F2D6D" w:rsidRDefault="005F2D6D" w:rsidP="00D54AAC">
      <w:pPr>
        <w:pStyle w:val="FootnoteText"/>
        <w:spacing w:line="276" w:lineRule="auto"/>
        <w:rPr>
          <w:rFonts w:cs="Arial"/>
          <w:sz w:val="26"/>
          <w:szCs w:val="26"/>
        </w:rPr>
      </w:pPr>
    </w:p>
    <w:p w14:paraId="290B9B50" w14:textId="746D1B4C" w:rsidR="000C0415" w:rsidRDefault="000C0415" w:rsidP="000C0415">
      <w:pPr>
        <w:pStyle w:val="FootnoteText"/>
        <w:numPr>
          <w:ilvl w:val="0"/>
          <w:numId w:val="1"/>
        </w:numPr>
        <w:spacing w:line="276" w:lineRule="auto"/>
        <w:rPr>
          <w:rFonts w:cs="Arial"/>
          <w:sz w:val="26"/>
          <w:szCs w:val="26"/>
        </w:rPr>
      </w:pPr>
      <w:r>
        <w:rPr>
          <w:rFonts w:cs="Arial"/>
          <w:i/>
          <w:iCs/>
          <w:sz w:val="26"/>
          <w:szCs w:val="26"/>
        </w:rPr>
        <w:lastRenderedPageBreak/>
        <w:t>The FAQs</w:t>
      </w:r>
    </w:p>
    <w:p w14:paraId="0E96F95E" w14:textId="77777777" w:rsidR="000C0415" w:rsidRDefault="000C0415" w:rsidP="00D54AAC">
      <w:pPr>
        <w:pStyle w:val="FootnoteText"/>
        <w:spacing w:line="276" w:lineRule="auto"/>
        <w:rPr>
          <w:rFonts w:cs="Arial"/>
          <w:sz w:val="26"/>
          <w:szCs w:val="26"/>
        </w:rPr>
      </w:pPr>
    </w:p>
    <w:p w14:paraId="1F951B2A" w14:textId="7AF595B8" w:rsidR="000C0415" w:rsidRDefault="005F2D6D" w:rsidP="00D54AAC">
      <w:pPr>
        <w:pStyle w:val="FootnoteText"/>
        <w:spacing w:line="276" w:lineRule="auto"/>
        <w:rPr>
          <w:rFonts w:cs="Arial"/>
          <w:sz w:val="26"/>
          <w:szCs w:val="26"/>
        </w:rPr>
      </w:pPr>
      <w:r>
        <w:rPr>
          <w:rFonts w:cs="Arial"/>
          <w:sz w:val="26"/>
          <w:szCs w:val="26"/>
        </w:rPr>
        <w:t>And</w:t>
      </w:r>
      <w:r w:rsidR="007B0862">
        <w:rPr>
          <w:rFonts w:cs="Arial"/>
          <w:sz w:val="26"/>
          <w:szCs w:val="26"/>
        </w:rPr>
        <w:t>,</w:t>
      </w:r>
      <w:r>
        <w:rPr>
          <w:rFonts w:cs="Arial"/>
          <w:sz w:val="26"/>
          <w:szCs w:val="26"/>
        </w:rPr>
        <w:t xml:space="preserve"> what of the use of </w:t>
      </w:r>
      <w:r w:rsidR="007B0862">
        <w:rPr>
          <w:rFonts w:cs="Arial"/>
          <w:sz w:val="26"/>
          <w:szCs w:val="26"/>
        </w:rPr>
        <w:t xml:space="preserve">the </w:t>
      </w:r>
      <w:r>
        <w:rPr>
          <w:rFonts w:cs="Arial"/>
          <w:sz w:val="26"/>
          <w:szCs w:val="26"/>
        </w:rPr>
        <w:t>FAQs</w:t>
      </w:r>
      <w:r w:rsidR="007B0862">
        <w:rPr>
          <w:rFonts w:cs="Arial"/>
          <w:sz w:val="26"/>
          <w:szCs w:val="26"/>
        </w:rPr>
        <w:t xml:space="preserve"> in this case?</w:t>
      </w:r>
      <w:r>
        <w:rPr>
          <w:rFonts w:cs="Arial"/>
          <w:sz w:val="26"/>
          <w:szCs w:val="26"/>
        </w:rPr>
        <w:t xml:space="preserve"> Regulation §</w:t>
      </w:r>
      <w:r w:rsidR="00594C09">
        <w:rPr>
          <w:rFonts w:cs="Arial"/>
          <w:sz w:val="26"/>
          <w:szCs w:val="26"/>
        </w:rPr>
        <w:t xml:space="preserve">1.6662-4(d)(3)(iii), relating to types of authority, only lists “Internal Revenue </w:t>
      </w:r>
      <w:r w:rsidR="006818F2">
        <w:rPr>
          <w:rFonts w:cs="Arial"/>
          <w:sz w:val="26"/>
          <w:szCs w:val="26"/>
        </w:rPr>
        <w:t>Service information or press releases”</w:t>
      </w:r>
      <w:r w:rsidR="000C0415">
        <w:rPr>
          <w:rFonts w:cs="Arial"/>
          <w:sz w:val="26"/>
          <w:szCs w:val="26"/>
        </w:rPr>
        <w:t xml:space="preserve">. The regulation </w:t>
      </w:r>
      <w:r w:rsidR="006818F2">
        <w:rPr>
          <w:rFonts w:cs="Arial"/>
          <w:sz w:val="26"/>
          <w:szCs w:val="26"/>
        </w:rPr>
        <w:t>also lists “other administrative pronouncements published by the Service in the Internal Revenue Bulletin”</w:t>
      </w:r>
      <w:r w:rsidR="004A04A8">
        <w:rPr>
          <w:rFonts w:cs="Arial"/>
          <w:sz w:val="26"/>
          <w:szCs w:val="26"/>
        </w:rPr>
        <w:t xml:space="preserve">. </w:t>
      </w:r>
    </w:p>
    <w:p w14:paraId="3A7DA822" w14:textId="01A7F699" w:rsidR="00403D5E" w:rsidRDefault="00403D5E" w:rsidP="00D54AAC">
      <w:pPr>
        <w:pStyle w:val="FootnoteText"/>
        <w:spacing w:line="276" w:lineRule="auto"/>
        <w:rPr>
          <w:rFonts w:cs="Arial"/>
          <w:sz w:val="26"/>
          <w:szCs w:val="26"/>
        </w:rPr>
      </w:pPr>
    </w:p>
    <w:p w14:paraId="23AC01AF" w14:textId="79914746" w:rsidR="00403D5E" w:rsidRDefault="00403D5E" w:rsidP="00D54AAC">
      <w:pPr>
        <w:pStyle w:val="FootnoteText"/>
        <w:spacing w:line="276" w:lineRule="auto"/>
        <w:rPr>
          <w:rFonts w:cs="Arial"/>
          <w:sz w:val="26"/>
          <w:szCs w:val="26"/>
        </w:rPr>
      </w:pPr>
      <w:r>
        <w:rPr>
          <w:rFonts w:cs="Arial"/>
          <w:sz w:val="26"/>
          <w:szCs w:val="26"/>
        </w:rPr>
        <w:t>The following points and observations can be made about the FAQs:</w:t>
      </w:r>
    </w:p>
    <w:p w14:paraId="4B67F894" w14:textId="77777777" w:rsidR="000C0415" w:rsidRDefault="000C0415" w:rsidP="00D54AAC">
      <w:pPr>
        <w:pStyle w:val="FootnoteText"/>
        <w:spacing w:line="276" w:lineRule="auto"/>
        <w:rPr>
          <w:rFonts w:cs="Arial"/>
          <w:sz w:val="26"/>
          <w:szCs w:val="26"/>
        </w:rPr>
      </w:pPr>
    </w:p>
    <w:p w14:paraId="6CAD58BB" w14:textId="77777777" w:rsidR="000472DB" w:rsidRDefault="00403D5E" w:rsidP="00403D5E">
      <w:pPr>
        <w:pStyle w:val="FootnoteText"/>
        <w:spacing w:line="276" w:lineRule="auto"/>
        <w:ind w:left="432" w:right="432"/>
        <w:rPr>
          <w:rFonts w:cs="Arial"/>
          <w:sz w:val="26"/>
          <w:szCs w:val="26"/>
        </w:rPr>
      </w:pPr>
      <w:r>
        <w:rPr>
          <w:rFonts w:cs="Arial"/>
          <w:sz w:val="26"/>
          <w:szCs w:val="26"/>
        </w:rPr>
        <w:t xml:space="preserve">● </w:t>
      </w:r>
      <w:r w:rsidR="004A04A8">
        <w:rPr>
          <w:rFonts w:cs="Arial"/>
          <w:sz w:val="26"/>
          <w:szCs w:val="26"/>
        </w:rPr>
        <w:t xml:space="preserve">The FAQs accompanying the ruling will not be published in the Internal Revenue Bulletin. And although there was an IRS press release on the ruling which contained an internal link to the FAQs, it is very far from being clear that the FAQs can count as authority. </w:t>
      </w:r>
    </w:p>
    <w:p w14:paraId="05D577B4" w14:textId="77777777" w:rsidR="000472DB" w:rsidRDefault="000472DB" w:rsidP="00403D5E">
      <w:pPr>
        <w:pStyle w:val="FootnoteText"/>
        <w:spacing w:line="276" w:lineRule="auto"/>
        <w:ind w:left="432" w:right="432"/>
        <w:rPr>
          <w:rFonts w:cs="Arial"/>
          <w:sz w:val="26"/>
          <w:szCs w:val="26"/>
        </w:rPr>
      </w:pPr>
    </w:p>
    <w:p w14:paraId="257CF8C7" w14:textId="40785A93" w:rsidR="005F2D6D" w:rsidRDefault="00D56BAC" w:rsidP="00403D5E">
      <w:pPr>
        <w:pStyle w:val="FootnoteText"/>
        <w:spacing w:line="276" w:lineRule="auto"/>
        <w:ind w:left="432" w:right="432"/>
        <w:rPr>
          <w:rFonts w:cs="Arial"/>
          <w:sz w:val="26"/>
          <w:szCs w:val="26"/>
        </w:rPr>
      </w:pPr>
      <w:r>
        <w:rPr>
          <w:rFonts w:cs="Arial"/>
          <w:sz w:val="26"/>
          <w:szCs w:val="26"/>
        </w:rPr>
        <w:t xml:space="preserve">● </w:t>
      </w:r>
      <w:r w:rsidR="00EC5E44">
        <w:rPr>
          <w:rFonts w:cs="Arial"/>
          <w:sz w:val="26"/>
          <w:szCs w:val="26"/>
        </w:rPr>
        <w:t xml:space="preserve">In fact, the initial guidance on cryptocurrencies, </w:t>
      </w:r>
      <w:proofErr w:type="gramStart"/>
      <w:r w:rsidR="00EC5E44">
        <w:rPr>
          <w:rFonts w:cs="Arial"/>
          <w:sz w:val="26"/>
          <w:szCs w:val="26"/>
        </w:rPr>
        <w:t>Notice</w:t>
      </w:r>
      <w:proofErr w:type="gramEnd"/>
      <w:r w:rsidR="00EC5E44">
        <w:rPr>
          <w:rFonts w:cs="Arial"/>
          <w:sz w:val="26"/>
          <w:szCs w:val="26"/>
        </w:rPr>
        <w:t xml:space="preserve"> 2014-21, 2014-16 I.R.B. 938, contained questions and answers in the notice itself, </w:t>
      </w:r>
      <w:r w:rsidR="007B0862">
        <w:rPr>
          <w:rFonts w:cs="Arial"/>
          <w:sz w:val="26"/>
          <w:szCs w:val="26"/>
        </w:rPr>
        <w:t xml:space="preserve">and a </w:t>
      </w:r>
      <w:r w:rsidR="00B50C2D">
        <w:rPr>
          <w:rFonts w:cs="Arial"/>
          <w:sz w:val="26"/>
          <w:szCs w:val="26"/>
        </w:rPr>
        <w:t>“</w:t>
      </w:r>
      <w:r w:rsidR="007B0862">
        <w:rPr>
          <w:rFonts w:cs="Arial"/>
          <w:sz w:val="26"/>
          <w:szCs w:val="26"/>
        </w:rPr>
        <w:t>notice</w:t>
      </w:r>
      <w:r w:rsidR="00B50C2D">
        <w:rPr>
          <w:rFonts w:cs="Arial"/>
          <w:sz w:val="26"/>
          <w:szCs w:val="26"/>
        </w:rPr>
        <w:t>”</w:t>
      </w:r>
      <w:r w:rsidR="007B0862">
        <w:rPr>
          <w:rFonts w:cs="Arial"/>
          <w:sz w:val="26"/>
          <w:szCs w:val="26"/>
        </w:rPr>
        <w:t xml:space="preserve"> </w:t>
      </w:r>
      <w:r w:rsidR="00EC5E44">
        <w:rPr>
          <w:rFonts w:cs="Arial"/>
          <w:sz w:val="26"/>
          <w:szCs w:val="26"/>
        </w:rPr>
        <w:t xml:space="preserve">is </w:t>
      </w:r>
      <w:r w:rsidR="007B0862">
        <w:rPr>
          <w:rFonts w:cs="Arial"/>
          <w:sz w:val="26"/>
          <w:szCs w:val="26"/>
        </w:rPr>
        <w:t xml:space="preserve">listed as </w:t>
      </w:r>
      <w:r w:rsidR="00EC5E44">
        <w:rPr>
          <w:rFonts w:cs="Arial"/>
          <w:sz w:val="26"/>
          <w:szCs w:val="26"/>
        </w:rPr>
        <w:t xml:space="preserve">authority under the section 6662 regulations. </w:t>
      </w:r>
      <w:r w:rsidR="004A04A8">
        <w:rPr>
          <w:rFonts w:cs="Arial"/>
          <w:sz w:val="26"/>
          <w:szCs w:val="26"/>
        </w:rPr>
        <w:t xml:space="preserve">So, why provide guidance that can be changed without public notice and comment and that </w:t>
      </w:r>
      <w:r w:rsidR="00B50C2D">
        <w:rPr>
          <w:rFonts w:cs="Arial"/>
          <w:sz w:val="26"/>
          <w:szCs w:val="26"/>
        </w:rPr>
        <w:t xml:space="preserve">apparently </w:t>
      </w:r>
      <w:r w:rsidR="004A04A8">
        <w:rPr>
          <w:rFonts w:cs="Arial"/>
          <w:sz w:val="26"/>
          <w:szCs w:val="26"/>
        </w:rPr>
        <w:t>cannot even provide penalty protection</w:t>
      </w:r>
      <w:r w:rsidR="00EC5E44">
        <w:rPr>
          <w:rFonts w:cs="Arial"/>
          <w:sz w:val="26"/>
          <w:szCs w:val="26"/>
        </w:rPr>
        <w:t xml:space="preserve"> as the 2014 notice does</w:t>
      </w:r>
      <w:r w:rsidR="004A04A8">
        <w:rPr>
          <w:rFonts w:cs="Arial"/>
          <w:sz w:val="26"/>
          <w:szCs w:val="26"/>
        </w:rPr>
        <w:t xml:space="preserve">? </w:t>
      </w:r>
    </w:p>
    <w:p w14:paraId="3065F223" w14:textId="5206F0B8" w:rsidR="00833535" w:rsidRDefault="00833535" w:rsidP="00D54AAC">
      <w:pPr>
        <w:pStyle w:val="FootnoteText"/>
        <w:spacing w:line="276" w:lineRule="auto"/>
        <w:rPr>
          <w:rFonts w:cs="Arial"/>
          <w:sz w:val="26"/>
          <w:szCs w:val="26"/>
        </w:rPr>
      </w:pPr>
    </w:p>
    <w:p w14:paraId="08ABE8A3" w14:textId="77777777" w:rsidR="000472DB" w:rsidRDefault="00B50C2D" w:rsidP="00B50C2D">
      <w:pPr>
        <w:pStyle w:val="FootnoteText"/>
        <w:spacing w:line="276" w:lineRule="auto"/>
        <w:ind w:left="432" w:right="432"/>
        <w:rPr>
          <w:rFonts w:cs="Arial"/>
          <w:sz w:val="26"/>
          <w:szCs w:val="26"/>
        </w:rPr>
      </w:pPr>
      <w:r>
        <w:rPr>
          <w:rFonts w:cs="Arial"/>
          <w:sz w:val="26"/>
          <w:szCs w:val="26"/>
        </w:rPr>
        <w:t xml:space="preserve">● </w:t>
      </w:r>
      <w:r w:rsidR="00833535">
        <w:rPr>
          <w:rFonts w:cs="Arial"/>
          <w:sz w:val="26"/>
          <w:szCs w:val="26"/>
        </w:rPr>
        <w:t xml:space="preserve">This same regulation </w:t>
      </w:r>
      <w:r w:rsidR="00577BEA">
        <w:rPr>
          <w:rFonts w:cs="Arial"/>
          <w:sz w:val="26"/>
          <w:szCs w:val="26"/>
        </w:rPr>
        <w:t xml:space="preserve">under section 6662 </w:t>
      </w:r>
      <w:r w:rsidR="00833535">
        <w:rPr>
          <w:rFonts w:cs="Arial"/>
          <w:sz w:val="26"/>
          <w:szCs w:val="26"/>
        </w:rPr>
        <w:t>says that conclusions reached in treatises, legal periodicals</w:t>
      </w:r>
      <w:r w:rsidR="003248D1">
        <w:rPr>
          <w:rFonts w:cs="Arial"/>
          <w:sz w:val="26"/>
          <w:szCs w:val="26"/>
        </w:rPr>
        <w:t xml:space="preserve">, or legal opinions are not authority but, the regulation </w:t>
      </w:r>
      <w:r w:rsidR="00577BEA">
        <w:rPr>
          <w:rFonts w:cs="Arial"/>
          <w:sz w:val="26"/>
          <w:szCs w:val="26"/>
        </w:rPr>
        <w:t xml:space="preserve">also </w:t>
      </w:r>
      <w:r w:rsidR="003248D1">
        <w:rPr>
          <w:rFonts w:cs="Arial"/>
          <w:sz w:val="26"/>
          <w:szCs w:val="26"/>
        </w:rPr>
        <w:t>states, the authorities underlying that conclusion</w:t>
      </w:r>
      <w:r w:rsidR="00577BEA">
        <w:rPr>
          <w:rFonts w:cs="Arial"/>
          <w:sz w:val="26"/>
          <w:szCs w:val="26"/>
        </w:rPr>
        <w:t xml:space="preserve"> as</w:t>
      </w:r>
      <w:r w:rsidR="003248D1">
        <w:rPr>
          <w:rFonts w:cs="Arial"/>
          <w:sz w:val="26"/>
          <w:szCs w:val="26"/>
        </w:rPr>
        <w:t xml:space="preserve"> so expressed may be authority. </w:t>
      </w:r>
    </w:p>
    <w:p w14:paraId="4985D86A" w14:textId="77777777" w:rsidR="000472DB" w:rsidRDefault="000472DB" w:rsidP="00B50C2D">
      <w:pPr>
        <w:pStyle w:val="FootnoteText"/>
        <w:spacing w:line="276" w:lineRule="auto"/>
        <w:ind w:left="432" w:right="432"/>
        <w:rPr>
          <w:rFonts w:cs="Arial"/>
          <w:sz w:val="26"/>
          <w:szCs w:val="26"/>
        </w:rPr>
      </w:pPr>
    </w:p>
    <w:p w14:paraId="5C88F956" w14:textId="77777777" w:rsidR="005B7913" w:rsidRDefault="00D56BAC" w:rsidP="00B50C2D">
      <w:pPr>
        <w:pStyle w:val="FootnoteText"/>
        <w:spacing w:line="276" w:lineRule="auto"/>
        <w:ind w:left="432" w:right="432"/>
        <w:rPr>
          <w:rFonts w:cs="Arial"/>
          <w:sz w:val="26"/>
          <w:szCs w:val="26"/>
        </w:rPr>
      </w:pPr>
      <w:r>
        <w:rPr>
          <w:rFonts w:cs="Arial"/>
          <w:sz w:val="26"/>
          <w:szCs w:val="26"/>
        </w:rPr>
        <w:t xml:space="preserve">● </w:t>
      </w:r>
      <w:r w:rsidR="003248D1">
        <w:rPr>
          <w:rFonts w:cs="Arial"/>
          <w:sz w:val="26"/>
          <w:szCs w:val="26"/>
        </w:rPr>
        <w:t xml:space="preserve">Of note, the IRS is given a significant head start in the authority analysis because revenue rulings </w:t>
      </w:r>
      <w:r w:rsidR="00544065">
        <w:rPr>
          <w:rFonts w:cs="Arial"/>
          <w:sz w:val="26"/>
          <w:szCs w:val="26"/>
        </w:rPr>
        <w:t>are accepted as authority</w:t>
      </w:r>
      <w:r w:rsidR="00577BEA">
        <w:rPr>
          <w:rFonts w:cs="Arial"/>
          <w:sz w:val="26"/>
          <w:szCs w:val="26"/>
        </w:rPr>
        <w:t xml:space="preserve"> on their face. </w:t>
      </w:r>
    </w:p>
    <w:p w14:paraId="57281B26" w14:textId="77777777" w:rsidR="005B7913" w:rsidRDefault="005B7913" w:rsidP="00B50C2D">
      <w:pPr>
        <w:pStyle w:val="FootnoteText"/>
        <w:spacing w:line="276" w:lineRule="auto"/>
        <w:ind w:left="432" w:right="432"/>
        <w:rPr>
          <w:rFonts w:cs="Arial"/>
          <w:sz w:val="26"/>
          <w:szCs w:val="26"/>
        </w:rPr>
      </w:pPr>
    </w:p>
    <w:p w14:paraId="10BF0288" w14:textId="62A809D3" w:rsidR="00577BEA" w:rsidRDefault="005B7913" w:rsidP="00B50C2D">
      <w:pPr>
        <w:pStyle w:val="FootnoteText"/>
        <w:spacing w:line="276" w:lineRule="auto"/>
        <w:ind w:left="432" w:right="432"/>
        <w:rPr>
          <w:rFonts w:cs="Arial"/>
          <w:sz w:val="26"/>
          <w:szCs w:val="26"/>
        </w:rPr>
      </w:pPr>
      <w:r>
        <w:rPr>
          <w:rFonts w:cs="Arial"/>
          <w:sz w:val="26"/>
          <w:szCs w:val="26"/>
        </w:rPr>
        <w:t xml:space="preserve">● </w:t>
      </w:r>
      <w:r w:rsidR="00577BEA">
        <w:rPr>
          <w:rFonts w:cs="Arial"/>
          <w:sz w:val="26"/>
          <w:szCs w:val="26"/>
        </w:rPr>
        <w:t>However,</w:t>
      </w:r>
      <w:r w:rsidR="00544065">
        <w:rPr>
          <w:rFonts w:cs="Arial"/>
          <w:sz w:val="26"/>
          <w:szCs w:val="26"/>
        </w:rPr>
        <w:t xml:space="preserve"> it is stated at regulation §</w:t>
      </w:r>
      <w:r w:rsidR="00A81095">
        <w:rPr>
          <w:rFonts w:cs="Arial"/>
          <w:sz w:val="26"/>
          <w:szCs w:val="26"/>
        </w:rPr>
        <w:t>1.6662-4</w:t>
      </w:r>
      <w:r w:rsidR="00B725F6">
        <w:rPr>
          <w:rFonts w:cs="Arial"/>
          <w:sz w:val="26"/>
          <w:szCs w:val="26"/>
        </w:rPr>
        <w:t xml:space="preserve">(d)(3)(ii) </w:t>
      </w:r>
      <w:r w:rsidR="00196C2A">
        <w:rPr>
          <w:rFonts w:cs="Arial"/>
          <w:sz w:val="26"/>
          <w:szCs w:val="26"/>
        </w:rPr>
        <w:t xml:space="preserve">that “An authority that merely states </w:t>
      </w:r>
      <w:r w:rsidR="005A651F">
        <w:rPr>
          <w:rFonts w:cs="Arial"/>
          <w:sz w:val="26"/>
          <w:szCs w:val="26"/>
        </w:rPr>
        <w:t xml:space="preserve">a conclusion ordinarily is less persuasive than one </w:t>
      </w:r>
      <w:r w:rsidR="00801DE3">
        <w:rPr>
          <w:rFonts w:cs="Arial"/>
          <w:sz w:val="26"/>
          <w:szCs w:val="26"/>
        </w:rPr>
        <w:t xml:space="preserve">that reaches its conclusion </w:t>
      </w:r>
      <w:r w:rsidR="006B2471">
        <w:rPr>
          <w:rFonts w:cs="Arial"/>
          <w:sz w:val="26"/>
          <w:szCs w:val="26"/>
        </w:rPr>
        <w:t xml:space="preserve">by cogently relating the applicable law to pertinent facts”, and </w:t>
      </w:r>
      <w:r w:rsidR="00915ED0">
        <w:rPr>
          <w:rFonts w:cs="Arial"/>
          <w:sz w:val="26"/>
          <w:szCs w:val="26"/>
        </w:rPr>
        <w:t xml:space="preserve">“The weight accorded an authority depends on its relevance and persuasiveness and the type of document providing the authority”. </w:t>
      </w:r>
    </w:p>
    <w:p w14:paraId="0B497B7D" w14:textId="77777777" w:rsidR="00577BEA" w:rsidRDefault="00577BEA" w:rsidP="00B725F6">
      <w:pPr>
        <w:pStyle w:val="FootnoteText"/>
        <w:spacing w:line="276" w:lineRule="auto"/>
        <w:rPr>
          <w:rFonts w:cs="Arial"/>
          <w:sz w:val="26"/>
          <w:szCs w:val="26"/>
        </w:rPr>
      </w:pPr>
    </w:p>
    <w:p w14:paraId="7ECDA635" w14:textId="52D8D7D8" w:rsidR="00A46359" w:rsidRDefault="005B7913" w:rsidP="005B7913">
      <w:pPr>
        <w:pStyle w:val="FootnoteText"/>
        <w:spacing w:line="276" w:lineRule="auto"/>
        <w:ind w:left="432" w:right="432"/>
        <w:rPr>
          <w:rFonts w:cs="Arial"/>
          <w:sz w:val="26"/>
          <w:szCs w:val="26"/>
        </w:rPr>
      </w:pPr>
      <w:r>
        <w:rPr>
          <w:rFonts w:cs="Arial"/>
          <w:sz w:val="26"/>
          <w:szCs w:val="26"/>
        </w:rPr>
        <w:t xml:space="preserve">● </w:t>
      </w:r>
      <w:r w:rsidR="00915ED0">
        <w:rPr>
          <w:rFonts w:cs="Arial"/>
          <w:sz w:val="26"/>
          <w:szCs w:val="26"/>
        </w:rPr>
        <w:t>Based on the preceding analysis here</w:t>
      </w:r>
      <w:r w:rsidR="00577BEA">
        <w:rPr>
          <w:rFonts w:cs="Arial"/>
          <w:sz w:val="26"/>
          <w:szCs w:val="26"/>
        </w:rPr>
        <w:t>,</w:t>
      </w:r>
      <w:r w:rsidR="00915ED0">
        <w:rPr>
          <w:rFonts w:cs="Arial"/>
          <w:sz w:val="26"/>
          <w:szCs w:val="26"/>
        </w:rPr>
        <w:t xml:space="preserve"> I would say that the ruling </w:t>
      </w:r>
      <w:r w:rsidR="001A6131">
        <w:rPr>
          <w:rFonts w:cs="Arial"/>
          <w:sz w:val="26"/>
          <w:szCs w:val="26"/>
        </w:rPr>
        <w:t xml:space="preserve">would not be accorded significant weight in the analysis but, as we all know, the </w:t>
      </w:r>
      <w:r w:rsidR="001A6131">
        <w:rPr>
          <w:rFonts w:cs="Arial"/>
          <w:sz w:val="26"/>
          <w:szCs w:val="26"/>
        </w:rPr>
        <w:lastRenderedPageBreak/>
        <w:t>IRS can assert what it asserts and is not penalized, as are taxpayers, for taking positions lacking substantial authority</w:t>
      </w:r>
      <w:r w:rsidR="00167164">
        <w:rPr>
          <w:rFonts w:cs="Arial"/>
          <w:sz w:val="26"/>
          <w:szCs w:val="26"/>
        </w:rPr>
        <w:t xml:space="preserve"> if placed in a revenue ruling, revenue procedure, notice or regulation</w:t>
      </w:r>
      <w:r w:rsidR="001A6131">
        <w:rPr>
          <w:rFonts w:cs="Arial"/>
          <w:sz w:val="26"/>
          <w:szCs w:val="26"/>
        </w:rPr>
        <w:t xml:space="preserve">. </w:t>
      </w:r>
      <w:r w:rsidR="00167164">
        <w:rPr>
          <w:rFonts w:cs="Arial"/>
          <w:sz w:val="26"/>
          <w:szCs w:val="26"/>
        </w:rPr>
        <w:t xml:space="preserve">Is that </w:t>
      </w:r>
      <w:proofErr w:type="gramStart"/>
      <w:r w:rsidR="00167164">
        <w:rPr>
          <w:rFonts w:cs="Arial"/>
          <w:sz w:val="26"/>
          <w:szCs w:val="26"/>
        </w:rPr>
        <w:t>really appropriate</w:t>
      </w:r>
      <w:proofErr w:type="gramEnd"/>
      <w:r w:rsidR="00167164">
        <w:rPr>
          <w:rFonts w:cs="Arial"/>
          <w:sz w:val="26"/>
          <w:szCs w:val="26"/>
        </w:rPr>
        <w:t xml:space="preserve"> or fair?</w:t>
      </w:r>
    </w:p>
    <w:p w14:paraId="0C3807CD" w14:textId="3E6E9BBC" w:rsidR="001A6131" w:rsidRDefault="001A6131" w:rsidP="00B725F6">
      <w:pPr>
        <w:pStyle w:val="FootnoteText"/>
        <w:spacing w:line="276" w:lineRule="auto"/>
        <w:rPr>
          <w:rFonts w:cs="Arial"/>
          <w:sz w:val="26"/>
          <w:szCs w:val="26"/>
        </w:rPr>
      </w:pPr>
    </w:p>
    <w:p w14:paraId="345941F5" w14:textId="0F7842AC" w:rsidR="00CD72CC" w:rsidRDefault="00C519E0" w:rsidP="00C519E0">
      <w:pPr>
        <w:pStyle w:val="FootnoteText"/>
        <w:numPr>
          <w:ilvl w:val="0"/>
          <w:numId w:val="1"/>
        </w:numPr>
        <w:spacing w:line="276" w:lineRule="auto"/>
        <w:rPr>
          <w:rFonts w:cs="Arial"/>
          <w:sz w:val="26"/>
          <w:szCs w:val="26"/>
        </w:rPr>
      </w:pPr>
      <w:r>
        <w:rPr>
          <w:rFonts w:cs="Arial"/>
          <w:i/>
          <w:iCs/>
          <w:sz w:val="26"/>
          <w:szCs w:val="26"/>
        </w:rPr>
        <w:t>The Effective Date of the Ruling</w:t>
      </w:r>
    </w:p>
    <w:p w14:paraId="51865858" w14:textId="77777777" w:rsidR="00CD72CC" w:rsidRDefault="00CD72CC" w:rsidP="00B725F6">
      <w:pPr>
        <w:pStyle w:val="FootnoteText"/>
        <w:spacing w:line="276" w:lineRule="auto"/>
        <w:rPr>
          <w:rFonts w:cs="Arial"/>
          <w:sz w:val="26"/>
          <w:szCs w:val="26"/>
        </w:rPr>
      </w:pPr>
    </w:p>
    <w:p w14:paraId="5D3E53E5" w14:textId="5C5B43FC" w:rsidR="00C519E0" w:rsidRDefault="00D30AB2" w:rsidP="00B725F6">
      <w:pPr>
        <w:pStyle w:val="FootnoteText"/>
        <w:spacing w:line="276" w:lineRule="auto"/>
        <w:rPr>
          <w:rFonts w:cs="Arial"/>
          <w:sz w:val="26"/>
          <w:szCs w:val="26"/>
        </w:rPr>
      </w:pPr>
      <w:r>
        <w:rPr>
          <w:rFonts w:cs="Arial"/>
          <w:sz w:val="26"/>
          <w:szCs w:val="26"/>
        </w:rPr>
        <w:t>T</w:t>
      </w:r>
      <w:r w:rsidR="00943C63">
        <w:rPr>
          <w:rFonts w:cs="Arial"/>
          <w:sz w:val="26"/>
          <w:szCs w:val="26"/>
        </w:rPr>
        <w:t xml:space="preserve">here is also the issue of whether a revenue ruling was the appropriate vehicle to provide this </w:t>
      </w:r>
      <w:r>
        <w:rPr>
          <w:rFonts w:cs="Arial"/>
          <w:sz w:val="26"/>
          <w:szCs w:val="26"/>
        </w:rPr>
        <w:t xml:space="preserve">cryptocurrency </w:t>
      </w:r>
      <w:r w:rsidR="00943C63">
        <w:rPr>
          <w:rFonts w:cs="Arial"/>
          <w:sz w:val="26"/>
          <w:szCs w:val="26"/>
        </w:rPr>
        <w:t xml:space="preserve">guidance. </w:t>
      </w:r>
      <w:r w:rsidR="00C519E0">
        <w:rPr>
          <w:rFonts w:cs="Arial"/>
          <w:sz w:val="26"/>
          <w:szCs w:val="26"/>
        </w:rPr>
        <w:t>In this regard, the following should be noted.</w:t>
      </w:r>
    </w:p>
    <w:p w14:paraId="256664F0" w14:textId="77777777" w:rsidR="00C519E0" w:rsidRDefault="00C519E0" w:rsidP="00B725F6">
      <w:pPr>
        <w:pStyle w:val="FootnoteText"/>
        <w:spacing w:line="276" w:lineRule="auto"/>
        <w:rPr>
          <w:rFonts w:cs="Arial"/>
          <w:sz w:val="26"/>
          <w:szCs w:val="26"/>
        </w:rPr>
      </w:pPr>
    </w:p>
    <w:p w14:paraId="477ED62B" w14:textId="77777777" w:rsidR="00B956B8" w:rsidRDefault="00C519E0" w:rsidP="00B956B8">
      <w:pPr>
        <w:pStyle w:val="FootnoteText"/>
        <w:spacing w:line="276" w:lineRule="auto"/>
        <w:ind w:left="432" w:right="432"/>
        <w:rPr>
          <w:rFonts w:cs="Arial"/>
          <w:sz w:val="26"/>
          <w:szCs w:val="26"/>
        </w:rPr>
      </w:pPr>
      <w:r>
        <w:rPr>
          <w:rFonts w:cs="Arial"/>
          <w:sz w:val="26"/>
          <w:szCs w:val="26"/>
        </w:rPr>
        <w:t xml:space="preserve">● </w:t>
      </w:r>
      <w:r w:rsidR="007C2795">
        <w:rPr>
          <w:rFonts w:cs="Arial"/>
          <w:sz w:val="26"/>
          <w:szCs w:val="26"/>
        </w:rPr>
        <w:t xml:space="preserve">Section 7805(b)(8) states, in effect, that unless a revenue ruling states that it will not be applied retroactively, then the ruling applies retroactively if it does not state an effective date. The ruling at issue does not express an effective date. </w:t>
      </w:r>
    </w:p>
    <w:p w14:paraId="3F4400A0" w14:textId="77777777" w:rsidR="00B956B8" w:rsidRDefault="00B956B8" w:rsidP="00B956B8">
      <w:pPr>
        <w:pStyle w:val="FootnoteText"/>
        <w:spacing w:line="276" w:lineRule="auto"/>
        <w:ind w:left="432" w:right="432"/>
        <w:rPr>
          <w:rFonts w:cs="Arial"/>
          <w:sz w:val="26"/>
          <w:szCs w:val="26"/>
        </w:rPr>
      </w:pPr>
    </w:p>
    <w:p w14:paraId="5C428C6E" w14:textId="1C2C6C55" w:rsidR="00943C63" w:rsidRDefault="00B956B8" w:rsidP="00B956B8">
      <w:pPr>
        <w:pStyle w:val="FootnoteText"/>
        <w:spacing w:line="276" w:lineRule="auto"/>
        <w:ind w:left="432" w:right="432"/>
        <w:rPr>
          <w:rFonts w:cs="Arial"/>
          <w:sz w:val="26"/>
          <w:szCs w:val="26"/>
        </w:rPr>
      </w:pPr>
      <w:r>
        <w:rPr>
          <w:rFonts w:cs="Arial"/>
          <w:sz w:val="26"/>
          <w:szCs w:val="26"/>
        </w:rPr>
        <w:t>●</w:t>
      </w:r>
      <w:r w:rsidR="00BE70DD">
        <w:rPr>
          <w:rFonts w:cs="Arial"/>
          <w:sz w:val="26"/>
          <w:szCs w:val="26"/>
        </w:rPr>
        <w:t xml:space="preserve"> </w:t>
      </w:r>
      <w:r w:rsidR="00596BE0">
        <w:rPr>
          <w:rFonts w:cs="Arial"/>
          <w:sz w:val="26"/>
          <w:szCs w:val="26"/>
        </w:rPr>
        <w:t>Had the ruling at issue been a regulation, unless it was issued “to prevent abuse”</w:t>
      </w:r>
      <w:r w:rsidR="00D30AB2">
        <w:rPr>
          <w:rFonts w:cs="Arial"/>
          <w:sz w:val="26"/>
          <w:szCs w:val="26"/>
        </w:rPr>
        <w:t>,</w:t>
      </w:r>
      <w:r w:rsidR="00596BE0">
        <w:rPr>
          <w:rFonts w:cs="Arial"/>
          <w:sz w:val="26"/>
          <w:szCs w:val="26"/>
        </w:rPr>
        <w:t xml:space="preserve"> </w:t>
      </w:r>
      <w:r w:rsidR="00D17594">
        <w:rPr>
          <w:rFonts w:cs="Arial"/>
          <w:sz w:val="26"/>
          <w:szCs w:val="26"/>
        </w:rPr>
        <w:t>or the taxpayer elected to apply the regulation retroactively, section 7805(b)(1) would provide that the regulation could not apply any sooner than the date it was filed with the Federal Register; meaning, it would be prospective only and would leave prior periods not addressed by the regulation. The best the IRS could have done then is to say “</w:t>
      </w:r>
      <w:r w:rsidR="00D30AB2">
        <w:rPr>
          <w:rFonts w:cs="Arial"/>
          <w:sz w:val="26"/>
          <w:szCs w:val="26"/>
        </w:rPr>
        <w:t xml:space="preserve">there is </w:t>
      </w:r>
      <w:r w:rsidR="00D17594">
        <w:rPr>
          <w:rFonts w:cs="Arial"/>
          <w:sz w:val="26"/>
          <w:szCs w:val="26"/>
        </w:rPr>
        <w:t xml:space="preserve">no inference as to prior law” in the regulation preamble or that it was a “clarification” of prior law, or words to that effect. </w:t>
      </w:r>
    </w:p>
    <w:p w14:paraId="34E4EF7E" w14:textId="6F44C7A0" w:rsidR="00D17594" w:rsidRDefault="00D17594" w:rsidP="00B725F6">
      <w:pPr>
        <w:pStyle w:val="FootnoteText"/>
        <w:spacing w:line="276" w:lineRule="auto"/>
        <w:rPr>
          <w:rFonts w:cs="Arial"/>
          <w:sz w:val="26"/>
          <w:szCs w:val="26"/>
        </w:rPr>
      </w:pPr>
    </w:p>
    <w:p w14:paraId="3CAB41A8" w14:textId="78D1E330" w:rsidR="00BE70DD" w:rsidRDefault="002A50C6" w:rsidP="002A50C6">
      <w:pPr>
        <w:pStyle w:val="FootnoteText"/>
        <w:numPr>
          <w:ilvl w:val="0"/>
          <w:numId w:val="1"/>
        </w:numPr>
        <w:spacing w:line="276" w:lineRule="auto"/>
        <w:rPr>
          <w:rFonts w:cs="Arial"/>
          <w:sz w:val="26"/>
          <w:szCs w:val="26"/>
        </w:rPr>
      </w:pPr>
      <w:r>
        <w:rPr>
          <w:rFonts w:cs="Arial"/>
          <w:i/>
          <w:iCs/>
          <w:sz w:val="26"/>
          <w:szCs w:val="26"/>
        </w:rPr>
        <w:t>The Policy Statement</w:t>
      </w:r>
    </w:p>
    <w:p w14:paraId="2CB47AED" w14:textId="77777777" w:rsidR="00BE70DD" w:rsidRDefault="00BE70DD" w:rsidP="00B725F6">
      <w:pPr>
        <w:pStyle w:val="FootnoteText"/>
        <w:spacing w:line="276" w:lineRule="auto"/>
        <w:rPr>
          <w:rFonts w:cs="Arial"/>
          <w:sz w:val="26"/>
          <w:szCs w:val="26"/>
        </w:rPr>
      </w:pPr>
    </w:p>
    <w:p w14:paraId="1FD2C55D" w14:textId="77777777" w:rsidR="002A50C6" w:rsidRDefault="00130508" w:rsidP="00B725F6">
      <w:pPr>
        <w:pStyle w:val="FootnoteText"/>
        <w:spacing w:line="276" w:lineRule="auto"/>
        <w:rPr>
          <w:rFonts w:cs="Arial"/>
          <w:sz w:val="26"/>
          <w:szCs w:val="26"/>
        </w:rPr>
      </w:pPr>
      <w:r>
        <w:rPr>
          <w:rFonts w:cs="Arial"/>
          <w:sz w:val="26"/>
          <w:szCs w:val="26"/>
        </w:rPr>
        <w:t xml:space="preserve">Was issuance of the revenue ruling in compliance with the </w:t>
      </w:r>
      <w:r w:rsidR="00942C5A">
        <w:rPr>
          <w:rFonts w:cs="Arial"/>
          <w:i/>
          <w:iCs/>
          <w:sz w:val="26"/>
          <w:szCs w:val="26"/>
        </w:rPr>
        <w:t xml:space="preserve">Policy Statement </w:t>
      </w:r>
      <w:proofErr w:type="gramStart"/>
      <w:r w:rsidR="00942C5A">
        <w:rPr>
          <w:rFonts w:cs="Arial"/>
          <w:i/>
          <w:iCs/>
          <w:sz w:val="26"/>
          <w:szCs w:val="26"/>
        </w:rPr>
        <w:t>On</w:t>
      </w:r>
      <w:proofErr w:type="gramEnd"/>
      <w:r w:rsidR="00942C5A">
        <w:rPr>
          <w:rFonts w:cs="Arial"/>
          <w:i/>
          <w:iCs/>
          <w:sz w:val="26"/>
          <w:szCs w:val="26"/>
        </w:rPr>
        <w:t xml:space="preserve"> The Tax Regulatory Process, </w:t>
      </w:r>
      <w:r w:rsidR="00942C5A">
        <w:rPr>
          <w:rFonts w:cs="Arial"/>
          <w:sz w:val="26"/>
          <w:szCs w:val="26"/>
        </w:rPr>
        <w:t xml:space="preserve">2019 TNT 44-12 (Mar. 5, 2019)? </w:t>
      </w:r>
    </w:p>
    <w:p w14:paraId="7D64C32B" w14:textId="77777777" w:rsidR="002A50C6" w:rsidRDefault="002A50C6" w:rsidP="00B725F6">
      <w:pPr>
        <w:pStyle w:val="FootnoteText"/>
        <w:spacing w:line="276" w:lineRule="auto"/>
        <w:rPr>
          <w:rFonts w:cs="Arial"/>
          <w:sz w:val="26"/>
          <w:szCs w:val="26"/>
        </w:rPr>
      </w:pPr>
    </w:p>
    <w:p w14:paraId="04D17A8D" w14:textId="73EA44F8" w:rsidR="00D17594" w:rsidRDefault="002E6E3C" w:rsidP="00B725F6">
      <w:pPr>
        <w:pStyle w:val="FootnoteText"/>
        <w:spacing w:line="276" w:lineRule="auto"/>
        <w:rPr>
          <w:rFonts w:cs="Arial"/>
          <w:sz w:val="26"/>
          <w:szCs w:val="26"/>
        </w:rPr>
      </w:pPr>
      <w:r>
        <w:rPr>
          <w:rFonts w:cs="Arial"/>
          <w:sz w:val="26"/>
          <w:szCs w:val="26"/>
        </w:rPr>
        <w:t>The Policy Statement has this to say relating to sub</w:t>
      </w:r>
      <w:r w:rsidR="00D30AB2">
        <w:rPr>
          <w:rFonts w:cs="Arial"/>
          <w:sz w:val="26"/>
          <w:szCs w:val="26"/>
        </w:rPr>
        <w:t>-</w:t>
      </w:r>
      <w:r>
        <w:rPr>
          <w:rFonts w:cs="Arial"/>
          <w:sz w:val="26"/>
          <w:szCs w:val="26"/>
        </w:rPr>
        <w:t>regulatory guidance, such as the ruling at issue here</w:t>
      </w:r>
      <w:r w:rsidR="00E9744E">
        <w:rPr>
          <w:rStyle w:val="FootnoteReference"/>
          <w:rFonts w:cs="Arial"/>
          <w:sz w:val="26"/>
          <w:szCs w:val="26"/>
        </w:rPr>
        <w:footnoteReference w:id="1"/>
      </w:r>
      <w:r>
        <w:rPr>
          <w:rFonts w:cs="Arial"/>
          <w:sz w:val="26"/>
          <w:szCs w:val="26"/>
        </w:rPr>
        <w:t>:</w:t>
      </w:r>
    </w:p>
    <w:p w14:paraId="215552C8" w14:textId="61558A10" w:rsidR="002E6E3C" w:rsidRDefault="002E6E3C" w:rsidP="00B725F6">
      <w:pPr>
        <w:pStyle w:val="FootnoteText"/>
        <w:spacing w:line="276" w:lineRule="auto"/>
        <w:rPr>
          <w:rFonts w:cs="Arial"/>
          <w:sz w:val="26"/>
          <w:szCs w:val="26"/>
        </w:rPr>
      </w:pPr>
    </w:p>
    <w:p w14:paraId="745B697A" w14:textId="1E883E67" w:rsidR="002E6E3C" w:rsidRPr="002E6E3C" w:rsidRDefault="002E6E3C" w:rsidP="002E6E3C">
      <w:pPr>
        <w:pStyle w:val="NormalWeb"/>
        <w:spacing w:before="0" w:beforeAutospacing="0" w:after="0" w:afterAutospacing="0"/>
        <w:ind w:left="432" w:right="432"/>
        <w:rPr>
          <w:rFonts w:ascii="Arial" w:hAnsi="Arial" w:cs="Arial"/>
          <w:color w:val="222222"/>
          <w:sz w:val="22"/>
          <w:szCs w:val="22"/>
        </w:rPr>
      </w:pPr>
      <w:r w:rsidRPr="002E6E3C">
        <w:rPr>
          <w:rFonts w:ascii="Arial" w:hAnsi="Arial" w:cs="Arial"/>
          <w:color w:val="222222"/>
          <w:sz w:val="22"/>
          <w:szCs w:val="22"/>
        </w:rPr>
        <w:t>When proper limits are observed, sub</w:t>
      </w:r>
      <w:r w:rsidR="0009630A">
        <w:rPr>
          <w:rFonts w:ascii="Arial" w:hAnsi="Arial" w:cs="Arial"/>
          <w:color w:val="222222"/>
          <w:sz w:val="22"/>
          <w:szCs w:val="22"/>
        </w:rPr>
        <w:t>-</w:t>
      </w:r>
      <w:r w:rsidRPr="002E6E3C">
        <w:rPr>
          <w:rFonts w:ascii="Arial" w:hAnsi="Arial" w:cs="Arial"/>
          <w:color w:val="222222"/>
          <w:sz w:val="22"/>
          <w:szCs w:val="22"/>
        </w:rPr>
        <w:t>regulatory guidance can provide taxpayers the certainty required to make informed decisions about their tax obligations. Such guidance cannot and should not, however, be used to modify existing legislative rules or create new legislative rules. The Treasury Department and the IRS will adhere to these limits and will not argue that sub</w:t>
      </w:r>
      <w:r w:rsidR="009C2730">
        <w:rPr>
          <w:rFonts w:ascii="Arial" w:hAnsi="Arial" w:cs="Arial"/>
          <w:color w:val="222222"/>
          <w:sz w:val="22"/>
          <w:szCs w:val="22"/>
        </w:rPr>
        <w:t>-</w:t>
      </w:r>
      <w:r w:rsidRPr="002E6E3C">
        <w:rPr>
          <w:rFonts w:ascii="Arial" w:hAnsi="Arial" w:cs="Arial"/>
          <w:color w:val="222222"/>
          <w:sz w:val="22"/>
          <w:szCs w:val="22"/>
        </w:rPr>
        <w:t>regulatory guidance has the force and effect of law. In litigation before the U.S. Tax Court, as a matter of policy, the IRS will not seek judicial deference under </w:t>
      </w:r>
      <w:r w:rsidRPr="002E6E3C">
        <w:rPr>
          <w:rStyle w:val="Emphasis"/>
          <w:rFonts w:ascii="Arial" w:hAnsi="Arial" w:cs="Arial"/>
          <w:color w:val="222222"/>
          <w:sz w:val="22"/>
          <w:szCs w:val="22"/>
        </w:rPr>
        <w:t>Auer v. Robbins</w:t>
      </w:r>
      <w:r w:rsidRPr="002E6E3C">
        <w:rPr>
          <w:rFonts w:ascii="Arial" w:hAnsi="Arial" w:cs="Arial"/>
          <w:color w:val="222222"/>
          <w:sz w:val="22"/>
          <w:szCs w:val="22"/>
        </w:rPr>
        <w:t>, 519 U.S. 452 (1997) or </w:t>
      </w:r>
      <w:r w:rsidRPr="002E6E3C">
        <w:rPr>
          <w:rStyle w:val="Emphasis"/>
          <w:rFonts w:ascii="Arial" w:hAnsi="Arial" w:cs="Arial"/>
          <w:color w:val="222222"/>
          <w:sz w:val="22"/>
          <w:szCs w:val="22"/>
        </w:rPr>
        <w:t>Chevron U.S.A., Inc. v. Natural Resources Defense Council, Inc.</w:t>
      </w:r>
      <w:r w:rsidRPr="002E6E3C">
        <w:rPr>
          <w:rFonts w:ascii="Arial" w:hAnsi="Arial" w:cs="Arial"/>
          <w:color w:val="222222"/>
          <w:sz w:val="22"/>
          <w:szCs w:val="22"/>
        </w:rPr>
        <w:t>, 467 U.S. 837 (1984), to interpretations set forth only in sub</w:t>
      </w:r>
      <w:r w:rsidR="009C2730">
        <w:rPr>
          <w:rFonts w:ascii="Arial" w:hAnsi="Arial" w:cs="Arial"/>
          <w:color w:val="222222"/>
          <w:sz w:val="22"/>
          <w:szCs w:val="22"/>
        </w:rPr>
        <w:t>-</w:t>
      </w:r>
      <w:r w:rsidRPr="002E6E3C">
        <w:rPr>
          <w:rFonts w:ascii="Arial" w:hAnsi="Arial" w:cs="Arial"/>
          <w:color w:val="222222"/>
          <w:sz w:val="22"/>
          <w:szCs w:val="22"/>
        </w:rPr>
        <w:t>regulatory guidance.</w:t>
      </w:r>
    </w:p>
    <w:p w14:paraId="6B6DFFAB" w14:textId="2C7EE5D5" w:rsidR="002A50C6" w:rsidRDefault="002E6E3C" w:rsidP="00143AB0">
      <w:pPr>
        <w:pStyle w:val="NormalWeb"/>
        <w:spacing w:before="300" w:beforeAutospacing="0" w:after="0" w:afterAutospacing="0"/>
        <w:ind w:left="432" w:right="432"/>
        <w:rPr>
          <w:rFonts w:ascii="Arial" w:hAnsi="Arial" w:cs="Arial"/>
          <w:color w:val="222222"/>
          <w:sz w:val="22"/>
          <w:szCs w:val="22"/>
        </w:rPr>
      </w:pPr>
      <w:r w:rsidRPr="002E6E3C">
        <w:rPr>
          <w:rFonts w:ascii="Arial" w:hAnsi="Arial" w:cs="Arial"/>
          <w:color w:val="222222"/>
          <w:sz w:val="22"/>
          <w:szCs w:val="22"/>
        </w:rPr>
        <w:t>In deciding whether to issue regulations or sub</w:t>
      </w:r>
      <w:r w:rsidR="009C2730">
        <w:rPr>
          <w:rFonts w:ascii="Arial" w:hAnsi="Arial" w:cs="Arial"/>
          <w:color w:val="222222"/>
          <w:sz w:val="22"/>
          <w:szCs w:val="22"/>
        </w:rPr>
        <w:t>-</w:t>
      </w:r>
      <w:r w:rsidRPr="002E6E3C">
        <w:rPr>
          <w:rFonts w:ascii="Arial" w:hAnsi="Arial" w:cs="Arial"/>
          <w:color w:val="222222"/>
          <w:sz w:val="22"/>
          <w:szCs w:val="22"/>
        </w:rPr>
        <w:t>regulatory guidance, the Treasury Department and the IRS must consider the content and nature of the interpretation or position being announced. Factors to be considered include the intended effect on taxpayers' rights or duties, the need for public comments, the form and content of prior positions, the significance of the issues, the statutory framework, and whether the interpretation or position is of short-term or long-term value. After weighing relevant factors, if the intended interpretation or position would have the effect of modifying existing legislative rules or creating new legislative rules on matters not addressed in existing regulations, the interpretation or position will generally be issued through notice-and-comment rulemaking, absent exceptional circumstances. Where the Treasury Department and the IRS intend to provide only an interpretation of existing law applied to a limited set of facts, a statutorily prescribed form of relief, a statement of agency procedure or practice, a public announcement of intent to issue proposed legislative rules, or an announcement that has only immediate or short-term value, the intended interpretation or position will generally be issued as sub</w:t>
      </w:r>
      <w:r w:rsidR="00BD3D2E">
        <w:rPr>
          <w:rFonts w:ascii="Arial" w:hAnsi="Arial" w:cs="Arial"/>
          <w:color w:val="222222"/>
          <w:sz w:val="22"/>
          <w:szCs w:val="22"/>
        </w:rPr>
        <w:t>-</w:t>
      </w:r>
      <w:r w:rsidRPr="002E6E3C">
        <w:rPr>
          <w:rFonts w:ascii="Arial" w:hAnsi="Arial" w:cs="Arial"/>
          <w:color w:val="222222"/>
          <w:sz w:val="22"/>
          <w:szCs w:val="22"/>
        </w:rPr>
        <w:t>regulatory guidance rather than through notice-and-comment rulemaking.</w:t>
      </w:r>
    </w:p>
    <w:p w14:paraId="36C08D43" w14:textId="4213DB49" w:rsidR="002A50C6" w:rsidRPr="002A50C6" w:rsidRDefault="002A50C6" w:rsidP="002A50C6">
      <w:pPr>
        <w:pStyle w:val="NormalWeb"/>
        <w:spacing w:before="300" w:beforeAutospacing="0" w:after="0" w:afterAutospacing="0"/>
        <w:rPr>
          <w:rFonts w:ascii="Arial" w:hAnsi="Arial" w:cs="Arial"/>
          <w:color w:val="222222"/>
          <w:sz w:val="26"/>
          <w:szCs w:val="26"/>
        </w:rPr>
      </w:pPr>
      <w:r w:rsidRPr="002A50C6">
        <w:rPr>
          <w:rFonts w:ascii="Arial" w:hAnsi="Arial" w:cs="Arial"/>
          <w:color w:val="222222"/>
          <w:sz w:val="26"/>
          <w:szCs w:val="26"/>
        </w:rPr>
        <w:t xml:space="preserve">The following </w:t>
      </w:r>
      <w:r>
        <w:rPr>
          <w:rFonts w:ascii="Arial" w:hAnsi="Arial" w:cs="Arial"/>
          <w:color w:val="222222"/>
          <w:sz w:val="26"/>
          <w:szCs w:val="26"/>
        </w:rPr>
        <w:t>should be noted relating to the Policy Statement.</w:t>
      </w:r>
    </w:p>
    <w:p w14:paraId="3619F813" w14:textId="77777777" w:rsidR="00EF3333" w:rsidRDefault="00143AB0" w:rsidP="00143AB0">
      <w:pPr>
        <w:pStyle w:val="NormalWeb"/>
        <w:spacing w:before="300" w:beforeAutospacing="0" w:after="0" w:afterAutospacing="0" w:line="276" w:lineRule="auto"/>
        <w:ind w:left="432" w:right="432"/>
        <w:rPr>
          <w:rFonts w:ascii="Arial" w:hAnsi="Arial" w:cs="Arial"/>
          <w:color w:val="222222"/>
          <w:sz w:val="26"/>
          <w:szCs w:val="26"/>
        </w:rPr>
      </w:pPr>
      <w:r>
        <w:rPr>
          <w:rFonts w:ascii="Arial" w:hAnsi="Arial" w:cs="Arial"/>
          <w:color w:val="222222"/>
          <w:sz w:val="26"/>
          <w:szCs w:val="26"/>
        </w:rPr>
        <w:t xml:space="preserve">● </w:t>
      </w:r>
      <w:r w:rsidR="005E4495">
        <w:rPr>
          <w:rFonts w:ascii="Arial" w:hAnsi="Arial" w:cs="Arial"/>
          <w:color w:val="222222"/>
          <w:sz w:val="26"/>
          <w:szCs w:val="26"/>
        </w:rPr>
        <w:t>Given the uncertainty in the proper tax treatment of hard forks and cryptocurrency</w:t>
      </w:r>
      <w:r w:rsidR="001579B2">
        <w:rPr>
          <w:rStyle w:val="FootnoteReference"/>
          <w:rFonts w:ascii="Arial" w:hAnsi="Arial" w:cs="Arial"/>
          <w:color w:val="222222"/>
          <w:sz w:val="26"/>
          <w:szCs w:val="26"/>
        </w:rPr>
        <w:footnoteReference w:id="2"/>
      </w:r>
      <w:r w:rsidR="001579B2">
        <w:rPr>
          <w:rFonts w:ascii="Arial" w:hAnsi="Arial" w:cs="Arial"/>
          <w:color w:val="222222"/>
          <w:sz w:val="26"/>
          <w:szCs w:val="26"/>
        </w:rPr>
        <w:t xml:space="preserve">, </w:t>
      </w:r>
      <w:proofErr w:type="gramStart"/>
      <w:r w:rsidR="001579B2">
        <w:rPr>
          <w:rFonts w:ascii="Arial" w:hAnsi="Arial" w:cs="Arial"/>
          <w:color w:val="222222"/>
          <w:sz w:val="26"/>
          <w:szCs w:val="26"/>
        </w:rPr>
        <w:t>it would seem that the</w:t>
      </w:r>
      <w:proofErr w:type="gramEnd"/>
      <w:r w:rsidR="001579B2">
        <w:rPr>
          <w:rFonts w:ascii="Arial" w:hAnsi="Arial" w:cs="Arial"/>
          <w:color w:val="222222"/>
          <w:sz w:val="26"/>
          <w:szCs w:val="26"/>
        </w:rPr>
        <w:t xml:space="preserve"> ruling at issue is creating a new legislative rule not addressed in existing regulations. </w:t>
      </w:r>
    </w:p>
    <w:p w14:paraId="24F95D7D" w14:textId="77777777" w:rsidR="00EF3333" w:rsidRDefault="00EF3333" w:rsidP="00143AB0">
      <w:pPr>
        <w:pStyle w:val="NormalWeb"/>
        <w:spacing w:before="300" w:beforeAutospacing="0" w:after="0" w:afterAutospacing="0" w:line="276" w:lineRule="auto"/>
        <w:ind w:left="432" w:right="432"/>
        <w:rPr>
          <w:rFonts w:ascii="Arial" w:hAnsi="Arial" w:cs="Arial"/>
          <w:color w:val="222222"/>
          <w:sz w:val="26"/>
          <w:szCs w:val="26"/>
        </w:rPr>
      </w:pPr>
      <w:r>
        <w:rPr>
          <w:rFonts w:ascii="Arial" w:hAnsi="Arial" w:cs="Arial"/>
          <w:color w:val="222222"/>
          <w:sz w:val="26"/>
          <w:szCs w:val="26"/>
        </w:rPr>
        <w:lastRenderedPageBreak/>
        <w:t xml:space="preserve">● </w:t>
      </w:r>
      <w:r w:rsidR="001579B2">
        <w:rPr>
          <w:rFonts w:ascii="Arial" w:hAnsi="Arial" w:cs="Arial"/>
          <w:color w:val="222222"/>
          <w:sz w:val="26"/>
          <w:szCs w:val="26"/>
        </w:rPr>
        <w:t xml:space="preserve">As such, it appears that issuing this guidance as a revenue ruling and not as a regulation deprived the public of notice and comment </w:t>
      </w:r>
      <w:proofErr w:type="gramStart"/>
      <w:r w:rsidR="001579B2">
        <w:rPr>
          <w:rFonts w:ascii="Arial" w:hAnsi="Arial" w:cs="Arial"/>
          <w:color w:val="222222"/>
          <w:sz w:val="26"/>
          <w:szCs w:val="26"/>
        </w:rPr>
        <w:t>and also</w:t>
      </w:r>
      <w:proofErr w:type="gramEnd"/>
      <w:r w:rsidR="001579B2">
        <w:rPr>
          <w:rFonts w:ascii="Arial" w:hAnsi="Arial" w:cs="Arial"/>
          <w:color w:val="222222"/>
          <w:sz w:val="26"/>
          <w:szCs w:val="26"/>
        </w:rPr>
        <w:t xml:space="preserve"> set forth a retroactive effective date that would not otherwise be allowed by section 7805(b). </w:t>
      </w:r>
    </w:p>
    <w:p w14:paraId="49D7CEED" w14:textId="7B2F81D6" w:rsidR="005E4495" w:rsidRDefault="00EF3333" w:rsidP="00143AB0">
      <w:pPr>
        <w:pStyle w:val="NormalWeb"/>
        <w:spacing w:before="300" w:beforeAutospacing="0" w:after="0" w:afterAutospacing="0" w:line="276" w:lineRule="auto"/>
        <w:ind w:left="432" w:right="432"/>
        <w:rPr>
          <w:rFonts w:ascii="Arial" w:hAnsi="Arial" w:cs="Arial"/>
          <w:color w:val="222222"/>
          <w:sz w:val="26"/>
          <w:szCs w:val="26"/>
        </w:rPr>
      </w:pPr>
      <w:r>
        <w:rPr>
          <w:rFonts w:ascii="Arial" w:hAnsi="Arial" w:cs="Arial"/>
          <w:color w:val="222222"/>
          <w:sz w:val="26"/>
          <w:szCs w:val="26"/>
        </w:rPr>
        <w:t xml:space="preserve">● </w:t>
      </w:r>
      <w:r w:rsidR="00391CB0">
        <w:rPr>
          <w:rFonts w:ascii="Arial" w:hAnsi="Arial" w:cs="Arial"/>
          <w:color w:val="222222"/>
          <w:sz w:val="26"/>
          <w:szCs w:val="26"/>
        </w:rPr>
        <w:t xml:space="preserve">Is this action challengeable under the Administrative Procedure Act? If </w:t>
      </w:r>
      <w:r>
        <w:rPr>
          <w:rFonts w:ascii="Arial" w:hAnsi="Arial" w:cs="Arial"/>
          <w:color w:val="222222"/>
          <w:sz w:val="26"/>
          <w:szCs w:val="26"/>
        </w:rPr>
        <w:t>yes</w:t>
      </w:r>
      <w:r w:rsidR="00391CB0">
        <w:rPr>
          <w:rFonts w:ascii="Arial" w:hAnsi="Arial" w:cs="Arial"/>
          <w:color w:val="222222"/>
          <w:sz w:val="26"/>
          <w:szCs w:val="26"/>
        </w:rPr>
        <w:t>,</w:t>
      </w:r>
      <w:r w:rsidR="00606FC0">
        <w:rPr>
          <w:rFonts w:ascii="Arial" w:hAnsi="Arial" w:cs="Arial"/>
          <w:color w:val="222222"/>
          <w:sz w:val="26"/>
          <w:szCs w:val="26"/>
        </w:rPr>
        <w:t xml:space="preserve"> how and in what forum?</w:t>
      </w:r>
      <w:r>
        <w:rPr>
          <w:rFonts w:ascii="Arial" w:hAnsi="Arial" w:cs="Arial"/>
          <w:color w:val="222222"/>
          <w:sz w:val="26"/>
          <w:szCs w:val="26"/>
        </w:rPr>
        <w:t xml:space="preserve"> If no, is there ever any penalty for the IRS violating the Policy Statement?</w:t>
      </w:r>
      <w:r>
        <w:rPr>
          <w:rStyle w:val="FootnoteReference"/>
          <w:rFonts w:ascii="Arial" w:hAnsi="Arial" w:cs="Arial"/>
          <w:color w:val="222222"/>
          <w:sz w:val="26"/>
          <w:szCs w:val="26"/>
        </w:rPr>
        <w:footnoteReference w:id="3"/>
      </w:r>
      <w:r w:rsidR="001D1BDC">
        <w:rPr>
          <w:rFonts w:ascii="Arial" w:hAnsi="Arial" w:cs="Arial"/>
          <w:color w:val="222222"/>
          <w:sz w:val="26"/>
          <w:szCs w:val="26"/>
        </w:rPr>
        <w:t xml:space="preserve"> It seems to </w:t>
      </w:r>
      <w:r w:rsidR="005B499E">
        <w:rPr>
          <w:rFonts w:ascii="Arial" w:hAnsi="Arial" w:cs="Arial"/>
          <w:color w:val="222222"/>
          <w:sz w:val="26"/>
          <w:szCs w:val="26"/>
        </w:rPr>
        <w:t>me</w:t>
      </w:r>
      <w:r w:rsidR="001D1BDC">
        <w:rPr>
          <w:rFonts w:ascii="Arial" w:hAnsi="Arial" w:cs="Arial"/>
          <w:color w:val="222222"/>
          <w:sz w:val="26"/>
          <w:szCs w:val="26"/>
        </w:rPr>
        <w:t xml:space="preserve"> that there ought to be a pre-enforcement challenge available to this kind of action</w:t>
      </w:r>
      <w:r w:rsidR="00391CB0">
        <w:rPr>
          <w:rFonts w:ascii="Arial" w:hAnsi="Arial" w:cs="Arial"/>
          <w:color w:val="222222"/>
          <w:sz w:val="26"/>
          <w:szCs w:val="26"/>
        </w:rPr>
        <w:t xml:space="preserve">. </w:t>
      </w:r>
      <w:r w:rsidR="00CC263C">
        <w:rPr>
          <w:rFonts w:ascii="Arial" w:hAnsi="Arial" w:cs="Arial"/>
          <w:color w:val="222222"/>
          <w:sz w:val="26"/>
          <w:szCs w:val="26"/>
        </w:rPr>
        <w:t xml:space="preserve">However, as I understand administrative law, the law has not advanced to the stage yet where revenue rulings and revenue procedures, like regulations, are treated as legislative rules subject to notice and comment from the public </w:t>
      </w:r>
      <w:r w:rsidR="001F5785">
        <w:rPr>
          <w:rFonts w:ascii="Arial" w:hAnsi="Arial" w:cs="Arial"/>
          <w:color w:val="222222"/>
          <w:sz w:val="26"/>
          <w:szCs w:val="26"/>
        </w:rPr>
        <w:t>in all cases</w:t>
      </w:r>
      <w:r w:rsidR="001F5785">
        <w:rPr>
          <w:rStyle w:val="FootnoteReference"/>
          <w:rFonts w:ascii="Arial" w:hAnsi="Arial" w:cs="Arial"/>
          <w:color w:val="222222"/>
          <w:sz w:val="26"/>
          <w:szCs w:val="26"/>
        </w:rPr>
        <w:footnoteReference w:id="4"/>
      </w:r>
      <w:r w:rsidR="001F5785">
        <w:rPr>
          <w:rFonts w:ascii="Arial" w:hAnsi="Arial" w:cs="Arial"/>
          <w:color w:val="222222"/>
          <w:sz w:val="26"/>
          <w:szCs w:val="26"/>
        </w:rPr>
        <w:t xml:space="preserve"> </w:t>
      </w:r>
      <w:r w:rsidR="00CC263C">
        <w:rPr>
          <w:rFonts w:ascii="Arial" w:hAnsi="Arial" w:cs="Arial"/>
          <w:color w:val="222222"/>
          <w:sz w:val="26"/>
          <w:szCs w:val="26"/>
        </w:rPr>
        <w:t xml:space="preserve">before the guidance is issued in final form. </w:t>
      </w:r>
    </w:p>
    <w:p w14:paraId="47C8A447" w14:textId="2D8F68D8" w:rsidR="00E71CE7" w:rsidRPr="000B0731" w:rsidRDefault="00E71CE7" w:rsidP="005E4495">
      <w:pPr>
        <w:pStyle w:val="NormalWeb"/>
        <w:spacing w:before="300" w:beforeAutospacing="0" w:after="0" w:afterAutospacing="0" w:line="276" w:lineRule="auto"/>
        <w:rPr>
          <w:rFonts w:ascii="Arial" w:hAnsi="Arial" w:cs="Arial"/>
          <w:i/>
          <w:iCs/>
          <w:color w:val="222222"/>
          <w:sz w:val="26"/>
          <w:szCs w:val="26"/>
        </w:rPr>
      </w:pPr>
      <w:r>
        <w:rPr>
          <w:rFonts w:ascii="Arial" w:hAnsi="Arial" w:cs="Arial"/>
          <w:color w:val="222222"/>
          <w:sz w:val="26"/>
          <w:szCs w:val="26"/>
        </w:rPr>
        <w:t>VII</w:t>
      </w:r>
      <w:r w:rsidR="000B0731">
        <w:rPr>
          <w:rFonts w:ascii="Arial" w:hAnsi="Arial" w:cs="Arial"/>
          <w:color w:val="222222"/>
          <w:sz w:val="26"/>
          <w:szCs w:val="26"/>
        </w:rPr>
        <w:t>I</w:t>
      </w:r>
      <w:r>
        <w:rPr>
          <w:rFonts w:ascii="Arial" w:hAnsi="Arial" w:cs="Arial"/>
          <w:color w:val="222222"/>
          <w:sz w:val="26"/>
          <w:szCs w:val="26"/>
        </w:rPr>
        <w:t xml:space="preserve">. </w:t>
      </w:r>
      <w:r w:rsidR="000B0731">
        <w:rPr>
          <w:rFonts w:ascii="Arial" w:hAnsi="Arial" w:cs="Arial"/>
          <w:i/>
          <w:iCs/>
          <w:color w:val="222222"/>
          <w:sz w:val="26"/>
          <w:szCs w:val="26"/>
        </w:rPr>
        <w:t>Conclusion</w:t>
      </w:r>
    </w:p>
    <w:p w14:paraId="419CC031" w14:textId="2C3865A4" w:rsidR="00B3286A" w:rsidRDefault="00B3286A" w:rsidP="005E4495">
      <w:pPr>
        <w:pStyle w:val="NormalWeb"/>
        <w:spacing w:before="300" w:beforeAutospacing="0" w:after="0" w:afterAutospacing="0" w:line="276" w:lineRule="auto"/>
        <w:rPr>
          <w:rFonts w:ascii="Arial" w:hAnsi="Arial" w:cs="Arial"/>
          <w:color w:val="222222"/>
          <w:sz w:val="26"/>
          <w:szCs w:val="26"/>
        </w:rPr>
      </w:pPr>
      <w:r>
        <w:rPr>
          <w:rFonts w:ascii="Arial" w:hAnsi="Arial" w:cs="Arial"/>
          <w:color w:val="222222"/>
          <w:sz w:val="26"/>
          <w:szCs w:val="26"/>
        </w:rPr>
        <w:t xml:space="preserve">I am not arguing for the non-taxation of cryptocurrency in </w:t>
      </w:r>
      <w:r w:rsidR="003609A6">
        <w:rPr>
          <w:rFonts w:ascii="Arial" w:hAnsi="Arial" w:cs="Arial"/>
          <w:color w:val="222222"/>
          <w:sz w:val="26"/>
          <w:szCs w:val="26"/>
        </w:rPr>
        <w:t xml:space="preserve">all cases or in </w:t>
      </w:r>
      <w:r>
        <w:rPr>
          <w:rFonts w:ascii="Arial" w:hAnsi="Arial" w:cs="Arial"/>
          <w:color w:val="222222"/>
          <w:sz w:val="26"/>
          <w:szCs w:val="26"/>
        </w:rPr>
        <w:t xml:space="preserve">any </w:t>
      </w:r>
      <w:proofErr w:type="gramStart"/>
      <w:r>
        <w:rPr>
          <w:rFonts w:ascii="Arial" w:hAnsi="Arial" w:cs="Arial"/>
          <w:color w:val="222222"/>
          <w:sz w:val="26"/>
          <w:szCs w:val="26"/>
        </w:rPr>
        <w:t>particular case</w:t>
      </w:r>
      <w:proofErr w:type="gramEnd"/>
      <w:r w:rsidR="00BC7C04">
        <w:rPr>
          <w:rFonts w:ascii="Arial" w:hAnsi="Arial" w:cs="Arial"/>
          <w:color w:val="222222"/>
          <w:sz w:val="26"/>
          <w:szCs w:val="26"/>
        </w:rPr>
        <w:t xml:space="preserve"> for that matter</w:t>
      </w:r>
      <w:r>
        <w:rPr>
          <w:rFonts w:ascii="Arial" w:hAnsi="Arial" w:cs="Arial"/>
          <w:color w:val="222222"/>
          <w:sz w:val="26"/>
          <w:szCs w:val="26"/>
        </w:rPr>
        <w:t xml:space="preserve">. </w:t>
      </w:r>
      <w:r w:rsidR="003609A6">
        <w:rPr>
          <w:rFonts w:ascii="Arial" w:hAnsi="Arial" w:cs="Arial"/>
          <w:color w:val="222222"/>
          <w:sz w:val="26"/>
          <w:szCs w:val="26"/>
        </w:rPr>
        <w:t xml:space="preserve">Far from it. </w:t>
      </w:r>
      <w:r>
        <w:rPr>
          <w:rFonts w:ascii="Arial" w:hAnsi="Arial" w:cs="Arial"/>
          <w:color w:val="222222"/>
          <w:sz w:val="26"/>
          <w:szCs w:val="26"/>
        </w:rPr>
        <w:t xml:space="preserve">I am just saying that after the long wait after preliminary guidance in </w:t>
      </w:r>
      <w:r w:rsidR="003609A6">
        <w:rPr>
          <w:rFonts w:ascii="Arial" w:hAnsi="Arial" w:cs="Arial"/>
          <w:color w:val="222222"/>
          <w:sz w:val="26"/>
          <w:szCs w:val="26"/>
        </w:rPr>
        <w:t xml:space="preserve">Notice </w:t>
      </w:r>
      <w:r>
        <w:rPr>
          <w:rFonts w:ascii="Arial" w:hAnsi="Arial" w:cs="Arial"/>
          <w:color w:val="222222"/>
          <w:sz w:val="26"/>
          <w:szCs w:val="26"/>
        </w:rPr>
        <w:t>2014</w:t>
      </w:r>
      <w:r w:rsidR="006D6002">
        <w:rPr>
          <w:rFonts w:ascii="Arial" w:hAnsi="Arial" w:cs="Arial"/>
          <w:color w:val="222222"/>
          <w:sz w:val="26"/>
          <w:szCs w:val="26"/>
        </w:rPr>
        <w:t xml:space="preserve">-21, 2014-16 I.R.B. 938, the guidance issued recently on cryptocurrency does not appear to be either cogently </w:t>
      </w:r>
      <w:r w:rsidR="003609A6">
        <w:rPr>
          <w:rFonts w:ascii="Arial" w:hAnsi="Arial" w:cs="Arial"/>
          <w:color w:val="222222"/>
          <w:sz w:val="26"/>
          <w:szCs w:val="26"/>
        </w:rPr>
        <w:t xml:space="preserve">reasoned and </w:t>
      </w:r>
      <w:r w:rsidR="006D6002">
        <w:rPr>
          <w:rFonts w:ascii="Arial" w:hAnsi="Arial" w:cs="Arial"/>
          <w:color w:val="222222"/>
          <w:sz w:val="26"/>
          <w:szCs w:val="26"/>
        </w:rPr>
        <w:t>analyzed or issued in the appropriate form.</w:t>
      </w:r>
    </w:p>
    <w:p w14:paraId="71547910" w14:textId="50B5589E" w:rsidR="006D6002" w:rsidRDefault="006D6002" w:rsidP="005E4495">
      <w:pPr>
        <w:pStyle w:val="NormalWeb"/>
        <w:spacing w:before="300" w:beforeAutospacing="0" w:after="0" w:afterAutospacing="0" w:line="276" w:lineRule="auto"/>
        <w:rPr>
          <w:rFonts w:ascii="Arial" w:hAnsi="Arial" w:cs="Arial"/>
          <w:color w:val="222222"/>
          <w:sz w:val="26"/>
          <w:szCs w:val="26"/>
        </w:rPr>
      </w:pPr>
    </w:p>
    <w:sectPr w:rsidR="006D60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0CA25" w14:textId="77777777" w:rsidR="00555DF3" w:rsidRDefault="00555DF3" w:rsidP="001051C3">
      <w:pPr>
        <w:spacing w:after="0"/>
      </w:pPr>
      <w:r>
        <w:separator/>
      </w:r>
    </w:p>
  </w:endnote>
  <w:endnote w:type="continuationSeparator" w:id="0">
    <w:p w14:paraId="06C7C6B4" w14:textId="77777777" w:rsidR="00555DF3" w:rsidRDefault="00555DF3" w:rsidP="001051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186428"/>
      <w:docPartObj>
        <w:docPartGallery w:val="Page Numbers (Bottom of Page)"/>
        <w:docPartUnique/>
      </w:docPartObj>
    </w:sdtPr>
    <w:sdtEndPr>
      <w:rPr>
        <w:noProof/>
      </w:rPr>
    </w:sdtEndPr>
    <w:sdtContent>
      <w:p w14:paraId="129E91BA" w14:textId="5E055433" w:rsidR="001051C3" w:rsidRDefault="001051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F73390" w14:textId="77777777" w:rsidR="001051C3" w:rsidRDefault="00105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8C66F" w14:textId="77777777" w:rsidR="00555DF3" w:rsidRDefault="00555DF3" w:rsidP="001051C3">
      <w:pPr>
        <w:spacing w:after="0"/>
      </w:pPr>
      <w:r>
        <w:separator/>
      </w:r>
    </w:p>
  </w:footnote>
  <w:footnote w:type="continuationSeparator" w:id="0">
    <w:p w14:paraId="7826D4BA" w14:textId="77777777" w:rsidR="00555DF3" w:rsidRDefault="00555DF3" w:rsidP="001051C3">
      <w:pPr>
        <w:spacing w:after="0"/>
      </w:pPr>
      <w:r>
        <w:continuationSeparator/>
      </w:r>
    </w:p>
  </w:footnote>
  <w:footnote w:id="1">
    <w:p w14:paraId="468FEBC4" w14:textId="731BCB50" w:rsidR="00E9744E" w:rsidRDefault="00E9744E">
      <w:pPr>
        <w:pStyle w:val="FootnoteText"/>
      </w:pPr>
      <w:r>
        <w:rPr>
          <w:rStyle w:val="FootnoteReference"/>
        </w:rPr>
        <w:footnoteRef/>
      </w:r>
      <w:r>
        <w:t xml:space="preserve"> </w:t>
      </w:r>
      <w:r w:rsidR="00DB1548">
        <w:t>For a subsequent Chief Counsel Notice on the deference to sub</w:t>
      </w:r>
      <w:r w:rsidR="00D30AB2">
        <w:t>-</w:t>
      </w:r>
      <w:r w:rsidR="00DB1548">
        <w:t>regulatory guidance issue, see CC-2019-006</w:t>
      </w:r>
      <w:r w:rsidR="00090BF2">
        <w:t xml:space="preserve">, 2019 TPR 37-12 (Sept. 17, 2019) (referencing other authority outside of </w:t>
      </w:r>
      <w:r w:rsidR="00DF3D41">
        <w:rPr>
          <w:i/>
          <w:iCs/>
        </w:rPr>
        <w:t xml:space="preserve">Auer </w:t>
      </w:r>
      <w:r w:rsidR="00DF3D41">
        <w:t xml:space="preserve">and </w:t>
      </w:r>
      <w:r w:rsidR="00DF3D41">
        <w:rPr>
          <w:i/>
          <w:iCs/>
        </w:rPr>
        <w:t xml:space="preserve">Chevron </w:t>
      </w:r>
      <w:r w:rsidR="00DF3D41">
        <w:t>where deference can be argued</w:t>
      </w:r>
      <w:r w:rsidR="00D30AB2">
        <w:t>. But, see</w:t>
      </w:r>
      <w:r w:rsidR="00DF3D41">
        <w:t xml:space="preserve"> Sean Atkins, </w:t>
      </w:r>
      <w:r w:rsidR="00DF3D41">
        <w:rPr>
          <w:i/>
          <w:iCs/>
        </w:rPr>
        <w:t xml:space="preserve">Clutching to Fiat: The IRS’s Continued Pursuit of Judicial Deference, </w:t>
      </w:r>
      <w:r w:rsidR="00DF3D41">
        <w:t>164 Tax Notes Federal 225 (Sept. 30, 2019)</w:t>
      </w:r>
      <w:r w:rsidR="0009630A">
        <w:t xml:space="preserve"> (arguing that the chief counsel notice was nothing more than an attempted disguised attempt to circumvent the Policy Statement). </w:t>
      </w:r>
    </w:p>
    <w:p w14:paraId="0C53C329" w14:textId="77777777" w:rsidR="00606FC0" w:rsidRPr="00DF3D41" w:rsidRDefault="00606FC0">
      <w:pPr>
        <w:pStyle w:val="FootnoteText"/>
      </w:pPr>
    </w:p>
  </w:footnote>
  <w:footnote w:id="2">
    <w:p w14:paraId="5DFFEEF4" w14:textId="42101F05" w:rsidR="001579B2" w:rsidRDefault="001579B2">
      <w:pPr>
        <w:pStyle w:val="FootnoteText"/>
        <w:rPr>
          <w:iCs/>
        </w:rPr>
      </w:pPr>
      <w:r>
        <w:rPr>
          <w:rStyle w:val="FootnoteReference"/>
        </w:rPr>
        <w:footnoteRef/>
      </w:r>
      <w:r>
        <w:t xml:space="preserve"> </w:t>
      </w:r>
      <w:r w:rsidR="00F833D9">
        <w:t xml:space="preserve">See, e.g., </w:t>
      </w:r>
      <w:r w:rsidR="00A65E31">
        <w:t xml:space="preserve">Ted Stotzer, </w:t>
      </w:r>
      <w:r w:rsidR="00A65E31">
        <w:rPr>
          <w:i/>
          <w:iCs/>
        </w:rPr>
        <w:t xml:space="preserve">Are Central Bank Cryptocurrencies Currency For U.S. Tax Purposes, </w:t>
      </w:r>
      <w:r w:rsidR="00A65E31">
        <w:t>165 Tax Notes Federal 223 (Oct. 14, 2019)</w:t>
      </w:r>
      <w:r w:rsidR="00856F93">
        <w:t xml:space="preserve">, and </w:t>
      </w:r>
      <w:r w:rsidR="00856F93">
        <w:rPr>
          <w:i/>
          <w:iCs/>
        </w:rPr>
        <w:t xml:space="preserve">A Look Ahead: Virtual Currencies-Gaps, Questions and Pitfalls, </w:t>
      </w:r>
      <w:r w:rsidR="00856F93">
        <w:t>161 Tax Notes 1463 (Dec. 17, 2018)</w:t>
      </w:r>
      <w:r w:rsidR="00A65E31">
        <w:t xml:space="preserve">; </w:t>
      </w:r>
      <w:r w:rsidR="00377BCD">
        <w:t xml:space="preserve">Nelson Yates II, </w:t>
      </w:r>
      <w:r w:rsidR="0024676C">
        <w:rPr>
          <w:i/>
          <w:iCs/>
        </w:rPr>
        <w:t xml:space="preserve">Stock or Livestock? Hard Fork Basis Allocation, </w:t>
      </w:r>
      <w:r w:rsidR="0024676C">
        <w:t>162 Tax Notes 61 (Jan. 7, 2019)</w:t>
      </w:r>
      <w:r w:rsidR="00A15C1D">
        <w:t xml:space="preserve">; Mary Voce and Pallav Raghuvanshi, </w:t>
      </w:r>
      <w:r w:rsidR="00A15C1D">
        <w:rPr>
          <w:i/>
          <w:iCs/>
        </w:rPr>
        <w:t xml:space="preserve">Blockchain and Cryptocurrency: Federal Income Tax Issues, </w:t>
      </w:r>
      <w:r w:rsidR="00A15C1D">
        <w:t>161 Tax Notes 1077 (Nov. 26, 2018)</w:t>
      </w:r>
      <w:r w:rsidR="0029603A">
        <w:t xml:space="preserve">; Stevie Conlon, Anna Vayser, and Robert Schwaba, </w:t>
      </w:r>
      <w:r w:rsidR="0029603A">
        <w:rPr>
          <w:i/>
          <w:iCs/>
        </w:rPr>
        <w:t xml:space="preserve">If a Crypto-Tree Falls in a Digital Forest, Can It Give Rise to Tax Evasion?, </w:t>
      </w:r>
      <w:r w:rsidR="0029603A">
        <w:t>161 Tax Notes 701 (Nov. 5, 2018)</w:t>
      </w:r>
      <w:r w:rsidR="00C65674">
        <w:t xml:space="preserve">, </w:t>
      </w:r>
      <w:r w:rsidR="00C65674">
        <w:rPr>
          <w:i/>
          <w:iCs/>
        </w:rPr>
        <w:t xml:space="preserve">Bitcoin, and Wash Sales, and Straddles: Oh My!, </w:t>
      </w:r>
      <w:r w:rsidR="00C65674">
        <w:t>160 Tax Notes 505 (July 23, 2018)</w:t>
      </w:r>
      <w:r w:rsidR="00A275FA">
        <w:t xml:space="preserve">, and </w:t>
      </w:r>
      <w:r w:rsidR="00A275FA">
        <w:rPr>
          <w:i/>
          <w:iCs/>
        </w:rPr>
        <w:t>Taxation of Bitcoin, Its Progeny</w:t>
      </w:r>
      <w:r w:rsidR="00CF2097">
        <w:rPr>
          <w:i/>
          <w:iCs/>
        </w:rPr>
        <w:t xml:space="preserve">, and Derivatives: Coin Ex Machina, </w:t>
      </w:r>
      <w:r w:rsidR="00CF2097">
        <w:t>158 Tax Notes 1001 (Feb. 19, 2018)</w:t>
      </w:r>
      <w:r w:rsidR="00ED3FA2">
        <w:t xml:space="preserve">; Jill-Marie Harding, Michael Haun, Noah Metz, and Daniel Stellenberg, </w:t>
      </w:r>
      <w:r w:rsidR="00ED3FA2">
        <w:rPr>
          <w:i/>
          <w:iCs/>
        </w:rPr>
        <w:t xml:space="preserve">Tax Considerations in </w:t>
      </w:r>
      <w:r w:rsidR="009B5DE2">
        <w:rPr>
          <w:i/>
          <w:iCs/>
        </w:rPr>
        <w:t xml:space="preserve">Structuring Initial Coin Offerings, </w:t>
      </w:r>
      <w:r w:rsidR="009B5DE2">
        <w:t xml:space="preserve">160 </w:t>
      </w:r>
      <w:r w:rsidR="00A04ECF">
        <w:t>Tax Notes 333 (July 26, 2018)</w:t>
      </w:r>
      <w:r w:rsidR="00FF6E8D">
        <w:t xml:space="preserve">; James Brown and Franziska Hertel, </w:t>
      </w:r>
      <w:r w:rsidR="00FF6E8D">
        <w:rPr>
          <w:i/>
          <w:iCs/>
        </w:rPr>
        <w:t xml:space="preserve">Virtual Currency and the Commodity Trading Safe Harbor, </w:t>
      </w:r>
      <w:r w:rsidR="00FF6E8D">
        <w:t xml:space="preserve">159 Tax Notes </w:t>
      </w:r>
      <w:r w:rsidR="004C122F">
        <w:t>1731 (June 18, 2018)</w:t>
      </w:r>
      <w:r w:rsidR="00041AEC">
        <w:t xml:space="preserve">; Andrew Velarde, </w:t>
      </w:r>
      <w:r w:rsidR="00041AEC">
        <w:rPr>
          <w:i/>
          <w:iCs/>
        </w:rPr>
        <w:t xml:space="preserve">ABA Seeks Safe Harbor on Cryptocurrency Splits, </w:t>
      </w:r>
      <w:r w:rsidR="00041AEC">
        <w:t>158 Tax Notes 1854 (Mar. 26, 2018)</w:t>
      </w:r>
      <w:r w:rsidR="008972FF">
        <w:t xml:space="preserve">; D. Larry Crumbley, Joseph Wall, Lewis Kilbourne, and Caleb Blair, </w:t>
      </w:r>
      <w:r w:rsidR="008972FF">
        <w:rPr>
          <w:i/>
          <w:iCs/>
        </w:rPr>
        <w:t xml:space="preserve">Cryptocurrencies Are Taxable and Not Free From Fraud, </w:t>
      </w:r>
      <w:r w:rsidR="008972FF">
        <w:t>158 Tax Notes 225 (Jan. 8, 2018)</w:t>
      </w:r>
      <w:r w:rsidR="00A72819">
        <w:t xml:space="preserve">; Selva Ozelli, </w:t>
      </w:r>
      <w:r w:rsidR="00A72819">
        <w:rPr>
          <w:i/>
        </w:rPr>
        <w:t xml:space="preserve">Virtual Currency: U.S. Tax Considerations and Fraudulent Activity Amid a Growing Global Market, </w:t>
      </w:r>
      <w:r w:rsidR="00A72819">
        <w:rPr>
          <w:iCs/>
        </w:rPr>
        <w:t>88 Tax Notes Int’l 257 (Oct. 26, 2017)</w:t>
      </w:r>
      <w:r w:rsidR="007348AD">
        <w:rPr>
          <w:iCs/>
        </w:rPr>
        <w:t xml:space="preserve">; David Shakow, </w:t>
      </w:r>
      <w:r w:rsidR="007348AD">
        <w:rPr>
          <w:i/>
        </w:rPr>
        <w:t xml:space="preserve">The Tax Treatment of Tokens: What Does It Betoken?, </w:t>
      </w:r>
      <w:r w:rsidR="007348AD">
        <w:rPr>
          <w:iCs/>
        </w:rPr>
        <w:t xml:space="preserve">156 Tax Notes 1387 (Sept. 11, 2017). </w:t>
      </w:r>
    </w:p>
    <w:p w14:paraId="7F82E472" w14:textId="77777777" w:rsidR="000F3FBE" w:rsidRPr="007348AD" w:rsidRDefault="000F3FBE">
      <w:pPr>
        <w:pStyle w:val="FootnoteText"/>
        <w:rPr>
          <w:iCs/>
        </w:rPr>
      </w:pPr>
    </w:p>
  </w:footnote>
  <w:footnote w:id="3">
    <w:p w14:paraId="2EBC9DE9" w14:textId="561765CC" w:rsidR="00EF3333" w:rsidRDefault="00EF3333">
      <w:pPr>
        <w:pStyle w:val="FootnoteText"/>
      </w:pPr>
      <w:r>
        <w:rPr>
          <w:rStyle w:val="FootnoteReference"/>
        </w:rPr>
        <w:footnoteRef/>
      </w:r>
      <w:r>
        <w:t xml:space="preserve"> A former associate of mine once told me that IRS revenue procedures </w:t>
      </w:r>
      <w:r w:rsidR="000F3FBE">
        <w:t xml:space="preserve">are “aspirational” and not mandatory even if they are stated in mandatory terms. Is that the case with the Policy Statement as well? </w:t>
      </w:r>
    </w:p>
  </w:footnote>
  <w:footnote w:id="4">
    <w:p w14:paraId="6894DE4F" w14:textId="1C675BED" w:rsidR="001F5785" w:rsidRPr="001F5785" w:rsidRDefault="001F5785">
      <w:pPr>
        <w:pStyle w:val="FootnoteText"/>
      </w:pPr>
      <w:r>
        <w:rPr>
          <w:rStyle w:val="FootnoteReference"/>
        </w:rPr>
        <w:footnoteRef/>
      </w:r>
      <w:r>
        <w:t xml:space="preserve"> See, e.g., </w:t>
      </w:r>
      <w:r>
        <w:rPr>
          <w:i/>
          <w:iCs/>
        </w:rPr>
        <w:t xml:space="preserve">Bullock v. Rettig, </w:t>
      </w:r>
      <w:r>
        <w:t xml:space="preserve">84 Exempt Org. Tax Rev 292 </w:t>
      </w:r>
      <w:r w:rsidR="006D78BA">
        <w:t xml:space="preserve">(Sept. 1,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4034D"/>
    <w:multiLevelType w:val="hybridMultilevel"/>
    <w:tmpl w:val="FF8E779C"/>
    <w:lvl w:ilvl="0" w:tplc="E83E206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5D"/>
    <w:rsid w:val="000112E0"/>
    <w:rsid w:val="00041AEC"/>
    <w:rsid w:val="000472DB"/>
    <w:rsid w:val="00073568"/>
    <w:rsid w:val="00090BF2"/>
    <w:rsid w:val="00095622"/>
    <w:rsid w:val="0009630A"/>
    <w:rsid w:val="000A38D5"/>
    <w:rsid w:val="000B0731"/>
    <w:rsid w:val="000C0415"/>
    <w:rsid w:val="000F3FBE"/>
    <w:rsid w:val="001051C3"/>
    <w:rsid w:val="00122BCE"/>
    <w:rsid w:val="00130508"/>
    <w:rsid w:val="00143AB0"/>
    <w:rsid w:val="00144E51"/>
    <w:rsid w:val="001579B2"/>
    <w:rsid w:val="00167164"/>
    <w:rsid w:val="001871A8"/>
    <w:rsid w:val="00196C2A"/>
    <w:rsid w:val="001A6131"/>
    <w:rsid w:val="001D1BDC"/>
    <w:rsid w:val="001F5785"/>
    <w:rsid w:val="0024676C"/>
    <w:rsid w:val="0029603A"/>
    <w:rsid w:val="002A50C6"/>
    <w:rsid w:val="002B5D51"/>
    <w:rsid w:val="002E342A"/>
    <w:rsid w:val="002E6E3C"/>
    <w:rsid w:val="003232DC"/>
    <w:rsid w:val="003248D1"/>
    <w:rsid w:val="00332F5D"/>
    <w:rsid w:val="00335E03"/>
    <w:rsid w:val="003609A6"/>
    <w:rsid w:val="00361457"/>
    <w:rsid w:val="00377BCD"/>
    <w:rsid w:val="003859E3"/>
    <w:rsid w:val="00391CB0"/>
    <w:rsid w:val="003F2AD1"/>
    <w:rsid w:val="00403D5E"/>
    <w:rsid w:val="00443030"/>
    <w:rsid w:val="00453B21"/>
    <w:rsid w:val="004A04A8"/>
    <w:rsid w:val="004C122F"/>
    <w:rsid w:val="004E40A2"/>
    <w:rsid w:val="005159CE"/>
    <w:rsid w:val="0054100E"/>
    <w:rsid w:val="00544065"/>
    <w:rsid w:val="00555DF3"/>
    <w:rsid w:val="00577BEA"/>
    <w:rsid w:val="00594C09"/>
    <w:rsid w:val="00596BE0"/>
    <w:rsid w:val="005A651F"/>
    <w:rsid w:val="005B499E"/>
    <w:rsid w:val="005B7913"/>
    <w:rsid w:val="005C418E"/>
    <w:rsid w:val="005E4495"/>
    <w:rsid w:val="005F2D6D"/>
    <w:rsid w:val="00602F13"/>
    <w:rsid w:val="00606FC0"/>
    <w:rsid w:val="0065039D"/>
    <w:rsid w:val="006818F2"/>
    <w:rsid w:val="00690478"/>
    <w:rsid w:val="006B17F0"/>
    <w:rsid w:val="006B2471"/>
    <w:rsid w:val="006D6002"/>
    <w:rsid w:val="006D78BA"/>
    <w:rsid w:val="00702396"/>
    <w:rsid w:val="00731F31"/>
    <w:rsid w:val="007348AD"/>
    <w:rsid w:val="0077475E"/>
    <w:rsid w:val="0079344F"/>
    <w:rsid w:val="007B0862"/>
    <w:rsid w:val="007B5A1D"/>
    <w:rsid w:val="007B658C"/>
    <w:rsid w:val="007C2795"/>
    <w:rsid w:val="007C74FC"/>
    <w:rsid w:val="007D14F3"/>
    <w:rsid w:val="007F6283"/>
    <w:rsid w:val="00801DE3"/>
    <w:rsid w:val="00810A0D"/>
    <w:rsid w:val="0081533F"/>
    <w:rsid w:val="00833535"/>
    <w:rsid w:val="0085303F"/>
    <w:rsid w:val="00856F93"/>
    <w:rsid w:val="008972FF"/>
    <w:rsid w:val="008E270D"/>
    <w:rsid w:val="008E64CA"/>
    <w:rsid w:val="008F3E62"/>
    <w:rsid w:val="009146B9"/>
    <w:rsid w:val="00915ED0"/>
    <w:rsid w:val="00927135"/>
    <w:rsid w:val="00942C5A"/>
    <w:rsid w:val="00943C63"/>
    <w:rsid w:val="009678F3"/>
    <w:rsid w:val="00983655"/>
    <w:rsid w:val="009B5DE2"/>
    <w:rsid w:val="009C079D"/>
    <w:rsid w:val="009C0835"/>
    <w:rsid w:val="009C2730"/>
    <w:rsid w:val="009C5585"/>
    <w:rsid w:val="009D1202"/>
    <w:rsid w:val="00A04ECF"/>
    <w:rsid w:val="00A15C1D"/>
    <w:rsid w:val="00A275FA"/>
    <w:rsid w:val="00A46359"/>
    <w:rsid w:val="00A65E1F"/>
    <w:rsid w:val="00A65E31"/>
    <w:rsid w:val="00A71859"/>
    <w:rsid w:val="00A72819"/>
    <w:rsid w:val="00A81095"/>
    <w:rsid w:val="00AA671F"/>
    <w:rsid w:val="00AC17F6"/>
    <w:rsid w:val="00AC1FB1"/>
    <w:rsid w:val="00AC5882"/>
    <w:rsid w:val="00B3286A"/>
    <w:rsid w:val="00B33933"/>
    <w:rsid w:val="00B33E58"/>
    <w:rsid w:val="00B50C2D"/>
    <w:rsid w:val="00B725F6"/>
    <w:rsid w:val="00B956B8"/>
    <w:rsid w:val="00BC7C04"/>
    <w:rsid w:val="00BD3D2E"/>
    <w:rsid w:val="00BE4FBB"/>
    <w:rsid w:val="00BE70DD"/>
    <w:rsid w:val="00C03B70"/>
    <w:rsid w:val="00C469EC"/>
    <w:rsid w:val="00C519E0"/>
    <w:rsid w:val="00C65674"/>
    <w:rsid w:val="00C91B82"/>
    <w:rsid w:val="00CA6525"/>
    <w:rsid w:val="00CC263C"/>
    <w:rsid w:val="00CD72CC"/>
    <w:rsid w:val="00CF2097"/>
    <w:rsid w:val="00CF34CE"/>
    <w:rsid w:val="00D17594"/>
    <w:rsid w:val="00D30AB2"/>
    <w:rsid w:val="00D3211A"/>
    <w:rsid w:val="00D54AAC"/>
    <w:rsid w:val="00D56BAC"/>
    <w:rsid w:val="00DB1548"/>
    <w:rsid w:val="00DB5749"/>
    <w:rsid w:val="00DF3D41"/>
    <w:rsid w:val="00DF7249"/>
    <w:rsid w:val="00E71CE7"/>
    <w:rsid w:val="00E94472"/>
    <w:rsid w:val="00E9744E"/>
    <w:rsid w:val="00EA590B"/>
    <w:rsid w:val="00EC5E44"/>
    <w:rsid w:val="00ED3FA2"/>
    <w:rsid w:val="00EF3333"/>
    <w:rsid w:val="00F0411D"/>
    <w:rsid w:val="00F32430"/>
    <w:rsid w:val="00F45EA7"/>
    <w:rsid w:val="00F833D9"/>
    <w:rsid w:val="00F87030"/>
    <w:rsid w:val="00FD327F"/>
    <w:rsid w:val="00FD5A4B"/>
    <w:rsid w:val="00FE2B0A"/>
    <w:rsid w:val="00FF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606E"/>
  <w15:chartTrackingRefBased/>
  <w15:docId w15:val="{A8E557FD-AC1C-467A-BBF4-0893256B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6"/>
        <w:szCs w:val="26"/>
        <w:lang w:val="en-US"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Footnote text"/>
    <w:next w:val="FootnoteText"/>
    <w:qFormat/>
    <w:rsid w:val="009C0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079D"/>
    <w:pPr>
      <w:spacing w:after="0"/>
    </w:pPr>
    <w:rPr>
      <w:sz w:val="24"/>
      <w:szCs w:val="20"/>
    </w:rPr>
  </w:style>
  <w:style w:type="character" w:customStyle="1" w:styleId="FootnoteTextChar">
    <w:name w:val="Footnote Text Char"/>
    <w:basedOn w:val="DefaultParagraphFont"/>
    <w:link w:val="FootnoteText"/>
    <w:uiPriority w:val="99"/>
    <w:semiHidden/>
    <w:rsid w:val="009C079D"/>
    <w:rPr>
      <w:sz w:val="24"/>
      <w:szCs w:val="20"/>
    </w:rPr>
  </w:style>
  <w:style w:type="character" w:styleId="FootnoteReference">
    <w:name w:val="footnote reference"/>
    <w:basedOn w:val="DefaultParagraphFont"/>
    <w:uiPriority w:val="99"/>
    <w:semiHidden/>
    <w:unhideWhenUsed/>
    <w:rsid w:val="004E40A2"/>
    <w:rPr>
      <w:vertAlign w:val="superscript"/>
    </w:rPr>
  </w:style>
  <w:style w:type="paragraph" w:styleId="Header">
    <w:name w:val="header"/>
    <w:basedOn w:val="Normal"/>
    <w:link w:val="HeaderChar"/>
    <w:uiPriority w:val="99"/>
    <w:unhideWhenUsed/>
    <w:rsid w:val="004E40A2"/>
    <w:pPr>
      <w:tabs>
        <w:tab w:val="center" w:pos="4680"/>
        <w:tab w:val="right" w:pos="9360"/>
      </w:tabs>
      <w:spacing w:after="0"/>
    </w:pPr>
  </w:style>
  <w:style w:type="character" w:customStyle="1" w:styleId="HeaderChar">
    <w:name w:val="Header Char"/>
    <w:basedOn w:val="DefaultParagraphFont"/>
    <w:link w:val="Header"/>
    <w:uiPriority w:val="99"/>
    <w:rsid w:val="004E40A2"/>
  </w:style>
  <w:style w:type="paragraph" w:styleId="Footer">
    <w:name w:val="footer"/>
    <w:basedOn w:val="Normal"/>
    <w:link w:val="FooterChar"/>
    <w:uiPriority w:val="99"/>
    <w:unhideWhenUsed/>
    <w:rsid w:val="004E40A2"/>
    <w:pPr>
      <w:tabs>
        <w:tab w:val="center" w:pos="4680"/>
        <w:tab w:val="right" w:pos="9360"/>
      </w:tabs>
      <w:spacing w:after="0"/>
    </w:pPr>
  </w:style>
  <w:style w:type="character" w:customStyle="1" w:styleId="FooterChar">
    <w:name w:val="Footer Char"/>
    <w:basedOn w:val="DefaultParagraphFont"/>
    <w:link w:val="Footer"/>
    <w:uiPriority w:val="99"/>
    <w:rsid w:val="004E40A2"/>
  </w:style>
  <w:style w:type="paragraph" w:styleId="ListParagraph">
    <w:name w:val="List Paragraph"/>
    <w:basedOn w:val="Normal"/>
    <w:uiPriority w:val="34"/>
    <w:qFormat/>
    <w:rsid w:val="004E40A2"/>
    <w:pPr>
      <w:ind w:left="720"/>
      <w:contextualSpacing/>
    </w:pPr>
  </w:style>
  <w:style w:type="character" w:styleId="Emphasis">
    <w:name w:val="Emphasis"/>
    <w:basedOn w:val="DefaultParagraphFont"/>
    <w:uiPriority w:val="20"/>
    <w:qFormat/>
    <w:rsid w:val="00F0411D"/>
    <w:rPr>
      <w:i/>
      <w:iCs/>
    </w:rPr>
  </w:style>
  <w:style w:type="character" w:styleId="Hyperlink">
    <w:name w:val="Hyperlink"/>
    <w:basedOn w:val="DefaultParagraphFont"/>
    <w:uiPriority w:val="99"/>
    <w:semiHidden/>
    <w:unhideWhenUsed/>
    <w:rsid w:val="007D14F3"/>
    <w:rPr>
      <w:color w:val="0000FF"/>
      <w:u w:val="single"/>
    </w:rPr>
  </w:style>
  <w:style w:type="paragraph" w:styleId="NormalWeb">
    <w:name w:val="Normal (Web)"/>
    <w:basedOn w:val="Normal"/>
    <w:uiPriority w:val="99"/>
    <w:semiHidden/>
    <w:unhideWhenUsed/>
    <w:rsid w:val="002E6E3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1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1EB10-B5E9-4013-ACAD-76F0FC51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Jackel</dc:creator>
  <cp:keywords/>
  <dc:description/>
  <cp:lastModifiedBy>Monte Jackel</cp:lastModifiedBy>
  <cp:revision>35</cp:revision>
  <dcterms:created xsi:type="dcterms:W3CDTF">2019-10-15T14:43:00Z</dcterms:created>
  <dcterms:modified xsi:type="dcterms:W3CDTF">2019-10-15T16:05:00Z</dcterms:modified>
</cp:coreProperties>
</file>